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70" w:rsidRPr="00202E70" w:rsidRDefault="00202E70" w:rsidP="00202E70">
      <w:pPr>
        <w:pStyle w:val="a3"/>
        <w:jc w:val="right"/>
        <w:rPr>
          <w:rFonts w:ascii="Times New Roman" w:hAnsi="Times New Roman"/>
          <w:sz w:val="24"/>
          <w:szCs w:val="24"/>
          <w:lang w:val="uk-UA"/>
        </w:rPr>
      </w:pPr>
      <w:proofErr w:type="spellStart"/>
      <w:r w:rsidRPr="00202E70">
        <w:rPr>
          <w:rFonts w:ascii="Times New Roman" w:hAnsi="Times New Roman"/>
          <w:sz w:val="24"/>
          <w:szCs w:val="24"/>
        </w:rPr>
        <w:t>Додаток</w:t>
      </w:r>
      <w:proofErr w:type="spellEnd"/>
      <w:r w:rsidRPr="00202E70">
        <w:rPr>
          <w:rFonts w:ascii="Times New Roman" w:hAnsi="Times New Roman"/>
          <w:sz w:val="24"/>
          <w:szCs w:val="24"/>
        </w:rPr>
        <w:t xml:space="preserve"> №1 </w:t>
      </w:r>
    </w:p>
    <w:p w:rsidR="00202E70" w:rsidRPr="00202E70" w:rsidRDefault="00202E70" w:rsidP="00202E70">
      <w:pPr>
        <w:pStyle w:val="a3"/>
        <w:jc w:val="right"/>
        <w:rPr>
          <w:rFonts w:ascii="Times New Roman" w:hAnsi="Times New Roman"/>
          <w:sz w:val="24"/>
          <w:szCs w:val="24"/>
          <w:lang w:val="uk-UA"/>
        </w:rPr>
      </w:pPr>
      <w:r w:rsidRPr="00202E70">
        <w:rPr>
          <w:rFonts w:ascii="Times New Roman" w:hAnsi="Times New Roman"/>
          <w:sz w:val="24"/>
          <w:szCs w:val="24"/>
          <w:lang w:val="uk-UA"/>
        </w:rPr>
        <w:t xml:space="preserve">до тендерної документації </w:t>
      </w:r>
      <w:r w:rsidRPr="00202E70">
        <w:rPr>
          <w:rFonts w:ascii="Times New Roman" w:hAnsi="Times New Roman"/>
          <w:sz w:val="24"/>
          <w:szCs w:val="24"/>
        </w:rPr>
        <w:t xml:space="preserve"> </w:t>
      </w:r>
    </w:p>
    <w:p w:rsidR="00202E70" w:rsidRPr="00202E70" w:rsidRDefault="00202E70" w:rsidP="00202E70">
      <w:pPr>
        <w:pStyle w:val="a3"/>
        <w:jc w:val="right"/>
        <w:rPr>
          <w:rFonts w:ascii="Times New Roman" w:hAnsi="Times New Roman"/>
          <w:sz w:val="24"/>
          <w:szCs w:val="24"/>
          <w:lang w:val="uk-UA"/>
        </w:rPr>
      </w:pPr>
    </w:p>
    <w:p w:rsidR="00202E70" w:rsidRDefault="00202E70" w:rsidP="00202E70">
      <w:pPr>
        <w:pStyle w:val="a3"/>
        <w:jc w:val="center"/>
        <w:rPr>
          <w:rFonts w:ascii="Times New Roman" w:hAnsi="Times New Roman"/>
          <w:b/>
          <w:sz w:val="24"/>
          <w:szCs w:val="24"/>
          <w:lang w:val="uk-UA"/>
        </w:rPr>
      </w:pPr>
      <w:r w:rsidRPr="00202E70">
        <w:rPr>
          <w:rFonts w:ascii="Times New Roman" w:hAnsi="Times New Roman"/>
          <w:b/>
          <w:sz w:val="24"/>
          <w:szCs w:val="24"/>
          <w:lang w:val="uk-UA"/>
        </w:rPr>
        <w:t>І.Кваліфікаційні критерії до Учасника відповідно до статті 16 Закону України «Про публічні закупівлі» та спосіб їх документального підтвердження.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gridCol w:w="6202"/>
      </w:tblGrid>
      <w:tr w:rsidR="00FD1047" w:rsidRPr="00202E70" w:rsidTr="00202E70">
        <w:tc>
          <w:tcPr>
            <w:tcW w:w="675" w:type="dxa"/>
            <w:shd w:val="clear" w:color="auto" w:fill="auto"/>
          </w:tcPr>
          <w:p w:rsidR="00202E70" w:rsidRPr="00202E70" w:rsidRDefault="00202E70" w:rsidP="00202E70">
            <w:pPr>
              <w:pStyle w:val="a3"/>
              <w:jc w:val="center"/>
              <w:rPr>
                <w:rFonts w:ascii="Times New Roman" w:hAnsi="Times New Roman"/>
                <w:b/>
                <w:sz w:val="24"/>
                <w:szCs w:val="24"/>
                <w:lang w:val="uk-UA"/>
              </w:rPr>
            </w:pPr>
            <w:r w:rsidRPr="00202E70">
              <w:rPr>
                <w:rFonts w:ascii="Times New Roman" w:hAnsi="Times New Roman"/>
                <w:b/>
                <w:sz w:val="24"/>
                <w:szCs w:val="24"/>
                <w:lang w:val="uk-UA"/>
              </w:rPr>
              <w:t>№ з/п</w:t>
            </w:r>
          </w:p>
        </w:tc>
        <w:tc>
          <w:tcPr>
            <w:tcW w:w="2694" w:type="dxa"/>
            <w:shd w:val="clear" w:color="auto" w:fill="auto"/>
          </w:tcPr>
          <w:p w:rsidR="00202E70" w:rsidRPr="00202E70" w:rsidRDefault="00202E70" w:rsidP="00202E70">
            <w:pPr>
              <w:pStyle w:val="a3"/>
              <w:jc w:val="center"/>
              <w:rPr>
                <w:rFonts w:ascii="Times New Roman" w:hAnsi="Times New Roman"/>
                <w:b/>
                <w:sz w:val="24"/>
                <w:szCs w:val="24"/>
                <w:lang w:val="uk-UA"/>
              </w:rPr>
            </w:pPr>
            <w:r w:rsidRPr="00202E70">
              <w:rPr>
                <w:rFonts w:ascii="Times New Roman" w:hAnsi="Times New Roman"/>
                <w:b/>
                <w:sz w:val="24"/>
                <w:szCs w:val="24"/>
                <w:lang w:val="uk-UA"/>
              </w:rPr>
              <w:t>Назва критері</w:t>
            </w:r>
            <w:r w:rsidRPr="00202E70">
              <w:rPr>
                <w:rFonts w:ascii="Times New Roman" w:eastAsia="Malgun Gothic Semilight" w:hAnsi="Times New Roman"/>
                <w:b/>
                <w:sz w:val="24"/>
                <w:szCs w:val="24"/>
                <w:lang w:val="uk-UA"/>
              </w:rPr>
              <w:t>ю</w:t>
            </w:r>
            <w:r w:rsidRPr="00202E70">
              <w:rPr>
                <w:rFonts w:ascii="Times New Roman" w:hAnsi="Times New Roman"/>
                <w:b/>
                <w:sz w:val="24"/>
                <w:szCs w:val="24"/>
                <w:lang w:val="uk-UA"/>
              </w:rPr>
              <w:t xml:space="preserve"> / </w:t>
            </w:r>
            <w:r w:rsidRPr="00202E70">
              <w:rPr>
                <w:rFonts w:ascii="Times New Roman" w:eastAsia="Malgun Gothic Semilight" w:hAnsi="Times New Roman"/>
                <w:b/>
                <w:sz w:val="24"/>
                <w:szCs w:val="24"/>
                <w:lang w:val="uk-UA"/>
              </w:rPr>
              <w:t>вимоги</w:t>
            </w:r>
          </w:p>
        </w:tc>
        <w:tc>
          <w:tcPr>
            <w:tcW w:w="6202" w:type="dxa"/>
            <w:shd w:val="clear" w:color="auto" w:fill="auto"/>
          </w:tcPr>
          <w:p w:rsidR="00202E70" w:rsidRPr="00202E70" w:rsidRDefault="00202E70" w:rsidP="00202E70">
            <w:pPr>
              <w:pStyle w:val="a3"/>
              <w:jc w:val="center"/>
              <w:rPr>
                <w:rFonts w:ascii="Times New Roman" w:hAnsi="Times New Roman"/>
                <w:b/>
                <w:sz w:val="24"/>
                <w:szCs w:val="24"/>
                <w:lang w:val="uk-UA"/>
              </w:rPr>
            </w:pPr>
            <w:r w:rsidRPr="00202E70">
              <w:rPr>
                <w:rFonts w:ascii="Times New Roman" w:hAnsi="Times New Roman"/>
                <w:b/>
                <w:sz w:val="24"/>
                <w:szCs w:val="24"/>
                <w:lang w:val="uk-UA"/>
              </w:rPr>
              <w:t xml:space="preserve">Критерії </w:t>
            </w:r>
            <w:r w:rsidRPr="00202E70">
              <w:rPr>
                <w:rFonts w:ascii="Times New Roman" w:eastAsia="Malgun Gothic Semilight" w:hAnsi="Times New Roman"/>
                <w:b/>
                <w:sz w:val="24"/>
                <w:szCs w:val="24"/>
                <w:lang w:val="uk-UA"/>
              </w:rPr>
              <w:t>квал</w:t>
            </w:r>
            <w:r w:rsidRPr="00202E70">
              <w:rPr>
                <w:rFonts w:ascii="Times New Roman" w:hAnsi="Times New Roman"/>
                <w:b/>
                <w:sz w:val="24"/>
                <w:szCs w:val="24"/>
                <w:lang w:val="uk-UA"/>
              </w:rPr>
              <w:t>і</w:t>
            </w:r>
            <w:r w:rsidRPr="00202E70">
              <w:rPr>
                <w:rFonts w:ascii="Times New Roman" w:eastAsia="Malgun Gothic Semilight" w:hAnsi="Times New Roman"/>
                <w:b/>
                <w:sz w:val="24"/>
                <w:szCs w:val="24"/>
                <w:lang w:val="uk-UA"/>
              </w:rPr>
              <w:t>ф</w:t>
            </w:r>
            <w:r w:rsidRPr="00202E70">
              <w:rPr>
                <w:rFonts w:ascii="Times New Roman" w:hAnsi="Times New Roman"/>
                <w:b/>
                <w:sz w:val="24"/>
                <w:szCs w:val="24"/>
                <w:lang w:val="uk-UA"/>
              </w:rPr>
              <w:t>і</w:t>
            </w:r>
            <w:r w:rsidRPr="00202E70">
              <w:rPr>
                <w:rFonts w:ascii="Times New Roman" w:eastAsia="Malgun Gothic Semilight" w:hAnsi="Times New Roman"/>
                <w:b/>
                <w:sz w:val="24"/>
                <w:szCs w:val="24"/>
                <w:lang w:val="uk-UA"/>
              </w:rPr>
              <w:t>кац</w:t>
            </w:r>
            <w:r w:rsidRPr="00202E70">
              <w:rPr>
                <w:rFonts w:ascii="Times New Roman" w:hAnsi="Times New Roman"/>
                <w:b/>
                <w:sz w:val="24"/>
                <w:szCs w:val="24"/>
                <w:lang w:val="uk-UA"/>
              </w:rPr>
              <w:t>ії</w:t>
            </w:r>
          </w:p>
        </w:tc>
      </w:tr>
      <w:tr w:rsidR="00FD1047" w:rsidRPr="00202E70" w:rsidTr="00202E70">
        <w:tc>
          <w:tcPr>
            <w:tcW w:w="675" w:type="dxa"/>
            <w:shd w:val="clear" w:color="auto" w:fill="auto"/>
          </w:tcPr>
          <w:p w:rsidR="00202E70" w:rsidRPr="00202E70" w:rsidRDefault="00202E70" w:rsidP="00202E70">
            <w:pPr>
              <w:pStyle w:val="a3"/>
              <w:jc w:val="both"/>
              <w:rPr>
                <w:rFonts w:ascii="Times New Roman" w:hAnsi="Times New Roman"/>
                <w:sz w:val="24"/>
                <w:szCs w:val="24"/>
                <w:lang w:val="uk-UA"/>
              </w:rPr>
            </w:pPr>
            <w:r w:rsidRPr="00202E70">
              <w:rPr>
                <w:rFonts w:ascii="Times New Roman" w:hAnsi="Times New Roman"/>
                <w:sz w:val="24"/>
                <w:szCs w:val="24"/>
                <w:lang w:val="uk-UA"/>
              </w:rPr>
              <w:t>1</w:t>
            </w:r>
          </w:p>
        </w:tc>
        <w:tc>
          <w:tcPr>
            <w:tcW w:w="2694" w:type="dxa"/>
            <w:shd w:val="clear" w:color="auto" w:fill="auto"/>
          </w:tcPr>
          <w:p w:rsidR="00202E70" w:rsidRPr="00202E70" w:rsidRDefault="00202E70" w:rsidP="00202E70">
            <w:pPr>
              <w:pStyle w:val="a3"/>
              <w:jc w:val="both"/>
              <w:rPr>
                <w:rFonts w:ascii="Times New Roman" w:hAnsi="Times New Roman"/>
                <w:sz w:val="24"/>
                <w:szCs w:val="24"/>
                <w:lang w:val="uk-UA"/>
              </w:rPr>
            </w:pPr>
            <w:r w:rsidRPr="00202E70">
              <w:rPr>
                <w:rStyle w:val="rvts0"/>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02" w:type="dxa"/>
            <w:shd w:val="clear" w:color="auto" w:fill="auto"/>
          </w:tcPr>
          <w:p w:rsidR="00202E70" w:rsidRPr="00202E70" w:rsidRDefault="00202E70" w:rsidP="00202E70">
            <w:pPr>
              <w:pStyle w:val="a3"/>
              <w:jc w:val="both"/>
              <w:rPr>
                <w:rFonts w:ascii="Times New Roman" w:hAnsi="Times New Roman"/>
                <w:bCs/>
                <w:sz w:val="24"/>
                <w:szCs w:val="24"/>
                <w:lang w:val="uk-UA"/>
              </w:rPr>
            </w:pPr>
            <w:r w:rsidRPr="00202E70">
              <w:rPr>
                <w:rFonts w:ascii="Times New Roman" w:hAnsi="Times New Roman"/>
                <w:bCs/>
                <w:sz w:val="24"/>
                <w:szCs w:val="24"/>
                <w:lang w:val="uk-UA"/>
              </w:rPr>
              <w:t>1.1 Надати довідку  за підписом керівника або особи уповноваженої на підписання документів тендерної пропозиції на бланку Учасника згідно Таблиці №1 «Відомості про досвід виконання аналогічних договорів», про виконання аналогічного* договору.</w:t>
            </w:r>
          </w:p>
          <w:p w:rsidR="00202E70" w:rsidRPr="00202E70" w:rsidRDefault="00202E70" w:rsidP="00202E70">
            <w:pPr>
              <w:pStyle w:val="a3"/>
              <w:jc w:val="both"/>
              <w:rPr>
                <w:rFonts w:ascii="Times New Roman" w:hAnsi="Times New Roman"/>
                <w:bCs/>
                <w:i/>
                <w:sz w:val="24"/>
                <w:szCs w:val="24"/>
                <w:lang w:val="uk-UA"/>
              </w:rPr>
            </w:pPr>
            <w:r w:rsidRPr="00202E70">
              <w:rPr>
                <w:rFonts w:ascii="Times New Roman" w:hAnsi="Times New Roman"/>
                <w:bCs/>
                <w:i/>
                <w:sz w:val="24"/>
                <w:szCs w:val="24"/>
                <w:lang w:val="uk-UA"/>
              </w:rPr>
              <w:t xml:space="preserve">* Під визначенням «аналогічний договір» мається на увазі будь-який повністю виконаний договір Учасника, яким передбачалося </w:t>
            </w:r>
            <w:r w:rsidR="001A1BA3">
              <w:rPr>
                <w:rFonts w:ascii="Times New Roman" w:hAnsi="Times New Roman"/>
                <w:bCs/>
                <w:i/>
                <w:sz w:val="24"/>
                <w:szCs w:val="24"/>
                <w:lang w:val="uk-UA"/>
              </w:rPr>
              <w:t>постачання бензину А-95 або палива дизельного</w:t>
            </w:r>
            <w:r w:rsidRPr="00202E70">
              <w:rPr>
                <w:rFonts w:ascii="Times New Roman" w:hAnsi="Times New Roman"/>
                <w:bCs/>
                <w:i/>
                <w:sz w:val="24"/>
                <w:szCs w:val="24"/>
                <w:lang w:val="uk-UA"/>
              </w:rPr>
              <w:t>.</w:t>
            </w:r>
          </w:p>
          <w:p w:rsidR="00202E70" w:rsidRPr="00202E70" w:rsidRDefault="00202E70" w:rsidP="00202E70">
            <w:pPr>
              <w:pStyle w:val="a3"/>
              <w:jc w:val="both"/>
              <w:rPr>
                <w:rFonts w:ascii="Times New Roman" w:hAnsi="Times New Roman"/>
                <w:color w:val="000000"/>
                <w:sz w:val="24"/>
                <w:szCs w:val="24"/>
                <w:lang w:val="uk-UA"/>
              </w:rPr>
            </w:pPr>
            <w:r w:rsidRPr="00202E70">
              <w:rPr>
                <w:rFonts w:ascii="Times New Roman" w:hAnsi="Times New Roman"/>
                <w:bCs/>
                <w:sz w:val="24"/>
                <w:szCs w:val="24"/>
                <w:lang w:val="uk-UA"/>
              </w:rPr>
              <w:t xml:space="preserve">1.2 До даної довідки Учасник надає </w:t>
            </w:r>
            <w:r w:rsidRPr="00202E70">
              <w:rPr>
                <w:rFonts w:ascii="Times New Roman" w:hAnsi="Times New Roman"/>
                <w:bCs/>
                <w:color w:val="000000"/>
                <w:sz w:val="24"/>
                <w:szCs w:val="24"/>
                <w:lang w:val="uk-UA"/>
              </w:rPr>
              <w:t>скановану копію Д</w:t>
            </w:r>
            <w:r w:rsidRPr="00202E70">
              <w:rPr>
                <w:rFonts w:ascii="Times New Roman" w:hAnsi="Times New Roman"/>
                <w:color w:val="000000"/>
                <w:sz w:val="24"/>
                <w:szCs w:val="24"/>
                <w:lang w:val="uk-UA"/>
              </w:rPr>
              <w:t>оговору з додатками (у разі їх наявності), зазначених у довідці відповідно до п. 1.1., що підтверджують виконання аналогічного договору.</w:t>
            </w:r>
          </w:p>
          <w:p w:rsidR="00202E70" w:rsidRPr="00202E70" w:rsidRDefault="00202E70" w:rsidP="00202E70">
            <w:pPr>
              <w:pStyle w:val="a3"/>
              <w:jc w:val="both"/>
              <w:rPr>
                <w:rFonts w:ascii="Times New Roman" w:hAnsi="Times New Roman"/>
                <w:color w:val="000000"/>
                <w:sz w:val="24"/>
                <w:szCs w:val="24"/>
                <w:lang w:val="uk-UA"/>
              </w:rPr>
            </w:pPr>
            <w:r w:rsidRPr="00202E70">
              <w:rPr>
                <w:rFonts w:ascii="Times New Roman" w:hAnsi="Times New Roman"/>
                <w:bCs/>
                <w:sz w:val="24"/>
                <w:szCs w:val="24"/>
                <w:lang w:val="uk-UA"/>
              </w:rPr>
              <w:t xml:space="preserve">1.3. Надати </w:t>
            </w:r>
            <w:proofErr w:type="spellStart"/>
            <w:r w:rsidRPr="00202E70">
              <w:rPr>
                <w:rFonts w:ascii="Times New Roman" w:hAnsi="Times New Roman"/>
                <w:bCs/>
                <w:sz w:val="24"/>
                <w:szCs w:val="24"/>
                <w:lang w:val="uk-UA"/>
              </w:rPr>
              <w:t>скан-копію</w:t>
            </w:r>
            <w:proofErr w:type="spellEnd"/>
            <w:r w:rsidRPr="00202E70">
              <w:rPr>
                <w:rFonts w:ascii="Times New Roman" w:hAnsi="Times New Roman"/>
                <w:bCs/>
                <w:sz w:val="24"/>
                <w:szCs w:val="24"/>
                <w:lang w:val="uk-UA"/>
              </w:rPr>
              <w:t xml:space="preserve"> листа-відгуку від </w:t>
            </w:r>
            <w:r w:rsidRPr="00202E70">
              <w:rPr>
                <w:rFonts w:ascii="Times New Roman" w:hAnsi="Times New Roman"/>
                <w:sz w:val="24"/>
                <w:szCs w:val="24"/>
                <w:lang w:val="uk-UA"/>
              </w:rPr>
              <w:t>замовника</w:t>
            </w:r>
            <w:r w:rsidRPr="00202E70">
              <w:rPr>
                <w:rFonts w:ascii="Times New Roman" w:hAnsi="Times New Roman"/>
                <w:bCs/>
                <w:sz w:val="24"/>
                <w:szCs w:val="24"/>
                <w:lang w:val="uk-UA"/>
              </w:rPr>
              <w:t xml:space="preserve">, для якого виконувався аналогічний договір, що підтверджують досвід виконання аналогічного договору, наведеного учасником </w:t>
            </w:r>
            <w:r w:rsidRPr="00202E70">
              <w:rPr>
                <w:rFonts w:ascii="Times New Roman" w:hAnsi="Times New Roman"/>
                <w:color w:val="000000"/>
                <w:sz w:val="24"/>
                <w:szCs w:val="24"/>
                <w:lang w:val="uk-UA"/>
              </w:rPr>
              <w:t>у довідці відповідно до п. 1.1.</w:t>
            </w:r>
          </w:p>
          <w:p w:rsidR="00202E70" w:rsidRPr="00202E70" w:rsidRDefault="00202E70" w:rsidP="00202E70">
            <w:pPr>
              <w:pStyle w:val="a3"/>
              <w:jc w:val="both"/>
              <w:rPr>
                <w:rFonts w:ascii="Times New Roman" w:hAnsi="Times New Roman"/>
                <w:bCs/>
                <w:i/>
                <w:color w:val="000000"/>
                <w:sz w:val="24"/>
                <w:szCs w:val="24"/>
                <w:lang w:val="uk-UA"/>
              </w:rPr>
            </w:pPr>
            <w:r w:rsidRPr="00202E70">
              <w:rPr>
                <w:rFonts w:ascii="Times New Roman" w:hAnsi="Times New Roman"/>
                <w:bCs/>
                <w:i/>
                <w:sz w:val="24"/>
                <w:szCs w:val="24"/>
                <w:lang w:val="uk-UA"/>
              </w:rPr>
              <w:t xml:space="preserve">*Документи у відповідності з пунктами 1.2. і 1.3. надаються учасником по будь-яким договорам, вказаним в </w:t>
            </w:r>
            <w:r w:rsidRPr="00202E70">
              <w:rPr>
                <w:rFonts w:ascii="Times New Roman" w:hAnsi="Times New Roman"/>
                <w:bCs/>
                <w:i/>
                <w:color w:val="000000"/>
                <w:sz w:val="24"/>
                <w:szCs w:val="24"/>
                <w:lang w:val="uk-UA"/>
              </w:rPr>
              <w:t>Таблиці №1 «Відомості про досвід виконання аналогічних договорів»</w:t>
            </w:r>
            <w:r w:rsidRPr="00202E70">
              <w:rPr>
                <w:rFonts w:ascii="Times New Roman" w:hAnsi="Times New Roman"/>
                <w:bCs/>
                <w:i/>
                <w:sz w:val="24"/>
                <w:szCs w:val="24"/>
                <w:lang w:val="uk-UA"/>
              </w:rPr>
              <w:t xml:space="preserve">, при чому такі документи мають бути оформленими від одного і того ж замовника вказаного в </w:t>
            </w:r>
            <w:r w:rsidRPr="00202E70">
              <w:rPr>
                <w:rFonts w:ascii="Times New Roman" w:hAnsi="Times New Roman"/>
                <w:bCs/>
                <w:i/>
                <w:color w:val="000000"/>
                <w:sz w:val="24"/>
                <w:szCs w:val="24"/>
                <w:lang w:val="uk-UA"/>
              </w:rPr>
              <w:t>Таблиці №1 «Відомості про досвід виконання аналогічних договорів».</w:t>
            </w:r>
          </w:p>
        </w:tc>
      </w:tr>
    </w:tbl>
    <w:p w:rsidR="00FD1047" w:rsidRPr="00FD1047" w:rsidRDefault="00FD1047" w:rsidP="00FD1047">
      <w:pPr>
        <w:pStyle w:val="a3"/>
        <w:jc w:val="right"/>
        <w:rPr>
          <w:rFonts w:ascii="Times New Roman" w:hAnsi="Times New Roman"/>
          <w:i/>
          <w:sz w:val="24"/>
          <w:szCs w:val="24"/>
        </w:rPr>
      </w:pPr>
      <w:proofErr w:type="spellStart"/>
      <w:r w:rsidRPr="00FD1047">
        <w:rPr>
          <w:rFonts w:ascii="Times New Roman" w:hAnsi="Times New Roman"/>
          <w:i/>
          <w:sz w:val="24"/>
          <w:szCs w:val="24"/>
        </w:rPr>
        <w:t>Таблиця</w:t>
      </w:r>
      <w:proofErr w:type="spellEnd"/>
      <w:r w:rsidRPr="00FD1047">
        <w:rPr>
          <w:rFonts w:ascii="Times New Roman" w:hAnsi="Times New Roman"/>
          <w:i/>
          <w:sz w:val="24"/>
          <w:szCs w:val="24"/>
        </w:rPr>
        <w:t xml:space="preserve"> №1 </w:t>
      </w:r>
    </w:p>
    <w:p w:rsidR="00FD1047" w:rsidRPr="00FD1047" w:rsidRDefault="00FD1047" w:rsidP="00FD1047">
      <w:pPr>
        <w:pStyle w:val="a3"/>
        <w:jc w:val="right"/>
        <w:rPr>
          <w:rFonts w:ascii="Times New Roman" w:hAnsi="Times New Roman"/>
          <w:i/>
          <w:sz w:val="24"/>
          <w:szCs w:val="24"/>
        </w:rPr>
      </w:pPr>
      <w:proofErr w:type="spellStart"/>
      <w:r w:rsidRPr="00FD1047">
        <w:rPr>
          <w:rFonts w:ascii="Times New Roman" w:hAnsi="Times New Roman"/>
          <w:i/>
          <w:sz w:val="24"/>
          <w:szCs w:val="24"/>
        </w:rPr>
        <w:t>додатку</w:t>
      </w:r>
      <w:proofErr w:type="spellEnd"/>
      <w:r w:rsidRPr="00FD1047">
        <w:rPr>
          <w:rFonts w:ascii="Times New Roman" w:hAnsi="Times New Roman"/>
          <w:i/>
          <w:sz w:val="24"/>
          <w:szCs w:val="24"/>
        </w:rPr>
        <w:t xml:space="preserve"> №1 до </w:t>
      </w:r>
      <w:proofErr w:type="spellStart"/>
      <w:r w:rsidRPr="00FD1047">
        <w:rPr>
          <w:rFonts w:ascii="Times New Roman" w:hAnsi="Times New Roman"/>
          <w:i/>
          <w:sz w:val="24"/>
          <w:szCs w:val="24"/>
        </w:rPr>
        <w:t>тендерної</w:t>
      </w:r>
      <w:proofErr w:type="spellEnd"/>
      <w:r w:rsidRPr="00FD1047">
        <w:rPr>
          <w:rFonts w:ascii="Times New Roman" w:hAnsi="Times New Roman"/>
          <w:i/>
          <w:sz w:val="24"/>
          <w:szCs w:val="24"/>
        </w:rPr>
        <w:t xml:space="preserve"> </w:t>
      </w:r>
      <w:proofErr w:type="spellStart"/>
      <w:r w:rsidRPr="00FD1047">
        <w:rPr>
          <w:rFonts w:ascii="Times New Roman" w:hAnsi="Times New Roman"/>
          <w:i/>
          <w:sz w:val="24"/>
          <w:szCs w:val="24"/>
        </w:rPr>
        <w:t>документації</w:t>
      </w:r>
      <w:proofErr w:type="spellEnd"/>
      <w:r w:rsidRPr="00FD1047">
        <w:rPr>
          <w:rFonts w:ascii="Times New Roman" w:hAnsi="Times New Roman"/>
          <w:i/>
          <w:sz w:val="24"/>
          <w:szCs w:val="24"/>
        </w:rPr>
        <w:t xml:space="preserve"> </w:t>
      </w:r>
    </w:p>
    <w:p w:rsidR="00FD1047" w:rsidRPr="0070696D" w:rsidRDefault="00FD1047" w:rsidP="00FD1047">
      <w:pPr>
        <w:jc w:val="center"/>
        <w:rPr>
          <w:b/>
          <w:sz w:val="22"/>
        </w:rPr>
      </w:pPr>
      <w:r w:rsidRPr="0070696D">
        <w:rPr>
          <w:b/>
          <w:sz w:val="22"/>
        </w:rPr>
        <w:t>Ві</w:t>
      </w:r>
      <w:r w:rsidRPr="0070696D">
        <w:rPr>
          <w:rFonts w:eastAsia="Malgun Gothic Semilight"/>
          <w:b/>
          <w:sz w:val="22"/>
        </w:rPr>
        <w:t>домост</w:t>
      </w:r>
      <w:r w:rsidRPr="0070696D">
        <w:rPr>
          <w:b/>
          <w:sz w:val="22"/>
        </w:rPr>
        <w:t xml:space="preserve">і </w:t>
      </w:r>
      <w:r w:rsidRPr="0070696D">
        <w:rPr>
          <w:rFonts w:eastAsia="Malgun Gothic Semilight"/>
          <w:b/>
          <w:sz w:val="22"/>
        </w:rPr>
        <w:t>про</w:t>
      </w:r>
      <w:r w:rsidRPr="0070696D">
        <w:rPr>
          <w:b/>
          <w:sz w:val="22"/>
        </w:rPr>
        <w:t xml:space="preserve"> </w:t>
      </w:r>
      <w:r w:rsidRPr="0070696D">
        <w:rPr>
          <w:rFonts w:eastAsia="Malgun Gothic Semilight"/>
          <w:b/>
          <w:sz w:val="22"/>
        </w:rPr>
        <w:t>досв</w:t>
      </w:r>
      <w:r w:rsidRPr="0070696D">
        <w:rPr>
          <w:b/>
          <w:sz w:val="22"/>
        </w:rPr>
        <w:t>і</w:t>
      </w:r>
      <w:r w:rsidRPr="0070696D">
        <w:rPr>
          <w:rFonts w:eastAsia="Malgun Gothic Semilight"/>
          <w:b/>
          <w:sz w:val="22"/>
        </w:rPr>
        <w:t>д</w:t>
      </w:r>
      <w:r w:rsidRPr="0070696D">
        <w:rPr>
          <w:b/>
          <w:sz w:val="22"/>
        </w:rPr>
        <w:t xml:space="preserve"> </w:t>
      </w:r>
      <w:r w:rsidRPr="0070696D">
        <w:rPr>
          <w:rFonts w:eastAsia="Malgun Gothic Semilight"/>
          <w:b/>
          <w:sz w:val="22"/>
        </w:rPr>
        <w:t>виконання</w:t>
      </w:r>
      <w:r w:rsidRPr="0070696D">
        <w:rPr>
          <w:b/>
          <w:sz w:val="22"/>
        </w:rPr>
        <w:t xml:space="preserve"> </w:t>
      </w:r>
      <w:r w:rsidRPr="0070696D">
        <w:rPr>
          <w:rFonts w:eastAsia="Malgun Gothic Semilight"/>
          <w:b/>
          <w:sz w:val="22"/>
        </w:rPr>
        <w:t>аналог</w:t>
      </w:r>
      <w:r w:rsidRPr="0070696D">
        <w:rPr>
          <w:b/>
          <w:sz w:val="22"/>
        </w:rPr>
        <w:t>і</w:t>
      </w:r>
      <w:r w:rsidRPr="0070696D">
        <w:rPr>
          <w:rFonts w:eastAsia="Malgun Gothic Semilight"/>
          <w:b/>
          <w:sz w:val="22"/>
        </w:rPr>
        <w:t>чних</w:t>
      </w:r>
      <w:r w:rsidRPr="0070696D">
        <w:rPr>
          <w:b/>
          <w:sz w:val="22"/>
        </w:rPr>
        <w:t xml:space="preserve"> </w:t>
      </w:r>
      <w:r w:rsidRPr="0070696D">
        <w:rPr>
          <w:rFonts w:eastAsia="Malgun Gothic Semilight"/>
          <w:b/>
          <w:sz w:val="22"/>
        </w:rPr>
        <w:t>договор</w:t>
      </w:r>
      <w:r w:rsidRPr="0070696D">
        <w:rPr>
          <w:b/>
          <w:sz w:val="22"/>
        </w:rPr>
        <w:t>і</w:t>
      </w:r>
      <w:r w:rsidRPr="0070696D">
        <w:rPr>
          <w:rFonts w:eastAsia="Malgun Gothic Semilight"/>
          <w:b/>
          <w:sz w:val="22"/>
        </w:rPr>
        <w:t>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6"/>
        <w:gridCol w:w="1417"/>
        <w:gridCol w:w="3402"/>
        <w:gridCol w:w="1701"/>
        <w:gridCol w:w="1418"/>
      </w:tblGrid>
      <w:tr w:rsidR="00FD1047" w:rsidRPr="00FD1047" w:rsidTr="00FD1047">
        <w:tc>
          <w:tcPr>
            <w:tcW w:w="709" w:type="dxa"/>
            <w:vAlign w:val="center"/>
          </w:tcPr>
          <w:p w:rsidR="00FD1047" w:rsidRPr="00FD1047" w:rsidRDefault="00FD1047" w:rsidP="0043059C">
            <w:pPr>
              <w:pStyle w:val="a3"/>
              <w:rPr>
                <w:rFonts w:ascii="Times New Roman" w:hAnsi="Times New Roman"/>
                <w:sz w:val="24"/>
                <w:szCs w:val="24"/>
              </w:rPr>
            </w:pPr>
            <w:r w:rsidRPr="00FD1047">
              <w:rPr>
                <w:rFonts w:ascii="Times New Roman" w:hAnsi="Times New Roman"/>
                <w:sz w:val="24"/>
                <w:szCs w:val="24"/>
              </w:rPr>
              <w:t>№</w:t>
            </w:r>
          </w:p>
          <w:p w:rsidR="00FD1047" w:rsidRPr="00FD1047" w:rsidRDefault="00FD1047" w:rsidP="0043059C">
            <w:pPr>
              <w:pStyle w:val="a3"/>
              <w:rPr>
                <w:rFonts w:ascii="Times New Roman" w:hAnsi="Times New Roman"/>
                <w:sz w:val="24"/>
                <w:szCs w:val="24"/>
              </w:rPr>
            </w:pPr>
            <w:r w:rsidRPr="00FD1047">
              <w:rPr>
                <w:rFonts w:ascii="Times New Roman" w:hAnsi="Times New Roman"/>
                <w:sz w:val="24"/>
                <w:szCs w:val="24"/>
              </w:rPr>
              <w:t>з/п</w:t>
            </w:r>
          </w:p>
        </w:tc>
        <w:tc>
          <w:tcPr>
            <w:tcW w:w="1276" w:type="dxa"/>
            <w:vAlign w:val="center"/>
          </w:tcPr>
          <w:p w:rsidR="00FD1047" w:rsidRPr="00FD1047" w:rsidRDefault="00FD1047" w:rsidP="0043059C">
            <w:pPr>
              <w:pStyle w:val="a3"/>
              <w:rPr>
                <w:rFonts w:ascii="Times New Roman" w:hAnsi="Times New Roman"/>
                <w:sz w:val="24"/>
                <w:szCs w:val="24"/>
              </w:rPr>
            </w:pPr>
            <w:r w:rsidRPr="00FD1047">
              <w:rPr>
                <w:rFonts w:ascii="Times New Roman" w:hAnsi="Times New Roman"/>
                <w:sz w:val="24"/>
                <w:szCs w:val="24"/>
              </w:rPr>
              <w:t xml:space="preserve">Номер договору </w:t>
            </w:r>
          </w:p>
          <w:p w:rsidR="00FD1047" w:rsidRPr="00FD1047" w:rsidRDefault="00FD1047" w:rsidP="0043059C">
            <w:pPr>
              <w:pStyle w:val="a3"/>
              <w:rPr>
                <w:rFonts w:ascii="Times New Roman" w:hAnsi="Times New Roman"/>
                <w:sz w:val="24"/>
                <w:szCs w:val="24"/>
              </w:rPr>
            </w:pPr>
            <w:r w:rsidRPr="00FD1047">
              <w:rPr>
                <w:rFonts w:ascii="Times New Roman" w:hAnsi="Times New Roman"/>
                <w:sz w:val="24"/>
                <w:szCs w:val="24"/>
              </w:rPr>
              <w:t xml:space="preserve">та дата </w:t>
            </w:r>
            <w:proofErr w:type="spellStart"/>
            <w:r w:rsidRPr="00FD1047">
              <w:rPr>
                <w:rFonts w:ascii="Times New Roman" w:hAnsi="Times New Roman"/>
                <w:sz w:val="24"/>
                <w:szCs w:val="24"/>
              </w:rPr>
              <w:t>укладання</w:t>
            </w:r>
            <w:proofErr w:type="spellEnd"/>
          </w:p>
        </w:tc>
        <w:tc>
          <w:tcPr>
            <w:tcW w:w="1417" w:type="dxa"/>
            <w:vAlign w:val="center"/>
          </w:tcPr>
          <w:p w:rsidR="00FD1047" w:rsidRPr="00FD1047" w:rsidRDefault="00FD1047" w:rsidP="0043059C">
            <w:pPr>
              <w:pStyle w:val="a3"/>
              <w:rPr>
                <w:rFonts w:ascii="Times New Roman" w:hAnsi="Times New Roman"/>
                <w:sz w:val="24"/>
                <w:szCs w:val="24"/>
                <w:lang w:eastAsia="uk-UA"/>
              </w:rPr>
            </w:pPr>
            <w:r w:rsidRPr="00FD1047">
              <w:rPr>
                <w:rFonts w:ascii="Times New Roman" w:hAnsi="Times New Roman"/>
                <w:sz w:val="24"/>
                <w:szCs w:val="24"/>
              </w:rPr>
              <w:t>Предмет договору</w:t>
            </w:r>
          </w:p>
        </w:tc>
        <w:tc>
          <w:tcPr>
            <w:tcW w:w="3402" w:type="dxa"/>
            <w:vAlign w:val="center"/>
          </w:tcPr>
          <w:p w:rsidR="00FD1047" w:rsidRPr="00FD1047" w:rsidRDefault="00FD1047" w:rsidP="0043059C">
            <w:pPr>
              <w:pStyle w:val="a3"/>
              <w:rPr>
                <w:rFonts w:ascii="Times New Roman" w:hAnsi="Times New Roman"/>
                <w:sz w:val="24"/>
                <w:szCs w:val="24"/>
              </w:rPr>
            </w:pPr>
            <w:proofErr w:type="spellStart"/>
            <w:r w:rsidRPr="00FD1047">
              <w:rPr>
                <w:rFonts w:ascii="Times New Roman" w:hAnsi="Times New Roman"/>
                <w:sz w:val="24"/>
                <w:szCs w:val="24"/>
              </w:rPr>
              <w:t>Найменування</w:t>
            </w:r>
            <w:proofErr w:type="spellEnd"/>
            <w:r w:rsidRPr="00FD1047">
              <w:rPr>
                <w:rFonts w:ascii="Times New Roman" w:hAnsi="Times New Roman"/>
                <w:sz w:val="24"/>
                <w:szCs w:val="24"/>
              </w:rPr>
              <w:t xml:space="preserve"> </w:t>
            </w:r>
            <w:proofErr w:type="spellStart"/>
            <w:r w:rsidRPr="00FD1047">
              <w:rPr>
                <w:rFonts w:ascii="Times New Roman" w:hAnsi="Times New Roman"/>
                <w:sz w:val="24"/>
                <w:szCs w:val="24"/>
              </w:rPr>
              <w:t>замовника</w:t>
            </w:r>
            <w:proofErr w:type="spellEnd"/>
            <w:r w:rsidRPr="00FD1047">
              <w:rPr>
                <w:rFonts w:ascii="Times New Roman" w:hAnsi="Times New Roman"/>
                <w:sz w:val="24"/>
                <w:szCs w:val="24"/>
              </w:rPr>
              <w:t xml:space="preserve">, </w:t>
            </w:r>
            <w:r w:rsidRPr="00FD1047">
              <w:rPr>
                <w:rFonts w:ascii="Times New Roman" w:hAnsi="Times New Roman"/>
                <w:sz w:val="24"/>
                <w:szCs w:val="24"/>
                <w:lang w:eastAsia="uk-UA"/>
              </w:rPr>
              <w:t>Є</w:t>
            </w:r>
            <w:r w:rsidRPr="00FD1047">
              <w:rPr>
                <w:rFonts w:ascii="Times New Roman" w:eastAsia="Malgun Gothic Semilight" w:hAnsi="Times New Roman"/>
                <w:sz w:val="24"/>
                <w:szCs w:val="24"/>
                <w:lang w:eastAsia="uk-UA"/>
              </w:rPr>
              <w:t>ДРПОУ</w:t>
            </w:r>
            <w:r w:rsidRPr="00FD1047">
              <w:rPr>
                <w:rFonts w:ascii="Times New Roman" w:hAnsi="Times New Roman"/>
                <w:sz w:val="24"/>
                <w:szCs w:val="24"/>
                <w:lang w:eastAsia="uk-UA"/>
              </w:rPr>
              <w:t xml:space="preserve">, </w:t>
            </w:r>
            <w:r w:rsidRPr="00FD1047">
              <w:rPr>
                <w:rFonts w:ascii="Times New Roman" w:eastAsia="Malgun Gothic Semilight" w:hAnsi="Times New Roman"/>
                <w:sz w:val="24"/>
                <w:szCs w:val="24"/>
                <w:lang w:eastAsia="uk-UA"/>
              </w:rPr>
              <w:t>адреса</w:t>
            </w:r>
            <w:r w:rsidRPr="00FD1047">
              <w:rPr>
                <w:rFonts w:ascii="Times New Roman" w:hAnsi="Times New Roman"/>
                <w:sz w:val="24"/>
                <w:szCs w:val="24"/>
                <w:lang w:eastAsia="uk-UA"/>
              </w:rPr>
              <w:t xml:space="preserve">,  </w:t>
            </w:r>
            <w:proofErr w:type="spellStart"/>
            <w:r w:rsidRPr="00FD1047">
              <w:rPr>
                <w:rFonts w:ascii="Times New Roman" w:eastAsia="Malgun Gothic Semilight" w:hAnsi="Times New Roman"/>
                <w:sz w:val="24"/>
                <w:szCs w:val="24"/>
                <w:lang w:eastAsia="uk-UA"/>
              </w:rPr>
              <w:t>контактний</w:t>
            </w:r>
            <w:proofErr w:type="spellEnd"/>
            <w:r w:rsidRPr="00FD1047">
              <w:rPr>
                <w:rFonts w:ascii="Times New Roman" w:hAnsi="Times New Roman"/>
                <w:sz w:val="24"/>
                <w:szCs w:val="24"/>
                <w:lang w:eastAsia="uk-UA"/>
              </w:rPr>
              <w:t xml:space="preserve"> </w:t>
            </w:r>
            <w:r w:rsidRPr="00FD1047">
              <w:rPr>
                <w:rFonts w:ascii="Times New Roman" w:eastAsia="Malgun Gothic Semilight" w:hAnsi="Times New Roman"/>
                <w:sz w:val="24"/>
                <w:szCs w:val="24"/>
                <w:lang w:eastAsia="uk-UA"/>
              </w:rPr>
              <w:t>телефон</w:t>
            </w:r>
            <w:r w:rsidRPr="00FD1047">
              <w:rPr>
                <w:rFonts w:ascii="Times New Roman" w:hAnsi="Times New Roman"/>
                <w:sz w:val="24"/>
                <w:szCs w:val="24"/>
                <w:lang w:eastAsia="uk-UA"/>
              </w:rPr>
              <w:t xml:space="preserve"> </w:t>
            </w:r>
            <w:proofErr w:type="spellStart"/>
            <w:r w:rsidRPr="00FD1047">
              <w:rPr>
                <w:rFonts w:ascii="Times New Roman" w:eastAsia="Malgun Gothic Semilight" w:hAnsi="Times New Roman"/>
                <w:sz w:val="24"/>
                <w:szCs w:val="24"/>
                <w:lang w:eastAsia="uk-UA"/>
              </w:rPr>
              <w:t>замовника</w:t>
            </w:r>
            <w:proofErr w:type="spellEnd"/>
            <w:r w:rsidRPr="00FD1047">
              <w:rPr>
                <w:rFonts w:ascii="Times New Roman" w:hAnsi="Times New Roman"/>
                <w:sz w:val="24"/>
                <w:szCs w:val="24"/>
                <w:lang w:eastAsia="uk-UA"/>
              </w:rPr>
              <w:t>(-</w:t>
            </w:r>
            <w:proofErr w:type="spellStart"/>
            <w:r w:rsidRPr="00FD1047">
              <w:rPr>
                <w:rFonts w:ascii="Times New Roman" w:hAnsi="Times New Roman"/>
                <w:sz w:val="24"/>
                <w:szCs w:val="24"/>
                <w:lang w:eastAsia="uk-UA"/>
              </w:rPr>
              <w:t>і</w:t>
            </w:r>
            <w:r w:rsidRPr="00FD1047">
              <w:rPr>
                <w:rFonts w:ascii="Times New Roman" w:eastAsia="Malgun Gothic Semilight" w:hAnsi="Times New Roman"/>
                <w:sz w:val="24"/>
                <w:szCs w:val="24"/>
                <w:lang w:eastAsia="uk-UA"/>
              </w:rPr>
              <w:t>в</w:t>
            </w:r>
            <w:proofErr w:type="spellEnd"/>
            <w:r w:rsidRPr="00FD1047">
              <w:rPr>
                <w:rFonts w:ascii="Times New Roman" w:hAnsi="Times New Roman"/>
                <w:sz w:val="24"/>
                <w:szCs w:val="24"/>
                <w:lang w:eastAsia="uk-UA"/>
              </w:rPr>
              <w:t xml:space="preserve">) </w:t>
            </w:r>
            <w:r w:rsidRPr="00FD1047">
              <w:rPr>
                <w:rFonts w:ascii="Times New Roman" w:eastAsia="Malgun Gothic Semilight" w:hAnsi="Times New Roman"/>
                <w:sz w:val="24"/>
                <w:szCs w:val="24"/>
                <w:lang w:eastAsia="uk-UA"/>
              </w:rPr>
              <w:t>за</w:t>
            </w:r>
            <w:r w:rsidRPr="00FD1047">
              <w:rPr>
                <w:rFonts w:ascii="Times New Roman" w:hAnsi="Times New Roman"/>
                <w:sz w:val="24"/>
                <w:szCs w:val="24"/>
                <w:lang w:eastAsia="uk-UA"/>
              </w:rPr>
              <w:t xml:space="preserve"> </w:t>
            </w:r>
            <w:r w:rsidRPr="00FD1047">
              <w:rPr>
                <w:rFonts w:ascii="Times New Roman" w:eastAsia="Malgun Gothic Semilight" w:hAnsi="Times New Roman"/>
                <w:sz w:val="24"/>
                <w:szCs w:val="24"/>
                <w:lang w:eastAsia="uk-UA"/>
              </w:rPr>
              <w:t>договором</w:t>
            </w:r>
            <w:r w:rsidRPr="00FD1047">
              <w:rPr>
                <w:rFonts w:ascii="Times New Roman" w:hAnsi="Times New Roman"/>
                <w:sz w:val="24"/>
                <w:szCs w:val="24"/>
                <w:lang w:eastAsia="uk-UA"/>
              </w:rPr>
              <w:t>,</w:t>
            </w:r>
            <w:r w:rsidRPr="00FD1047">
              <w:rPr>
                <w:rFonts w:ascii="Times New Roman" w:hAnsi="Times New Roman"/>
                <w:sz w:val="24"/>
                <w:szCs w:val="24"/>
              </w:rPr>
              <w:t xml:space="preserve"> контактна особа</w:t>
            </w:r>
          </w:p>
        </w:tc>
        <w:tc>
          <w:tcPr>
            <w:tcW w:w="1701" w:type="dxa"/>
            <w:vAlign w:val="center"/>
          </w:tcPr>
          <w:p w:rsidR="00FD1047" w:rsidRPr="00FD1047" w:rsidRDefault="00FD1047" w:rsidP="0043059C">
            <w:pPr>
              <w:pStyle w:val="a3"/>
              <w:rPr>
                <w:rFonts w:ascii="Times New Roman" w:hAnsi="Times New Roman"/>
                <w:sz w:val="24"/>
                <w:szCs w:val="24"/>
              </w:rPr>
            </w:pPr>
            <w:r w:rsidRPr="00FD1047">
              <w:rPr>
                <w:rFonts w:ascii="Times New Roman" w:hAnsi="Times New Roman"/>
                <w:sz w:val="24"/>
                <w:szCs w:val="24"/>
                <w:lang w:eastAsia="uk-UA"/>
              </w:rPr>
              <w:t xml:space="preserve">Строк </w:t>
            </w:r>
            <w:proofErr w:type="spellStart"/>
            <w:r w:rsidRPr="00FD1047">
              <w:rPr>
                <w:rFonts w:ascii="Times New Roman" w:hAnsi="Times New Roman"/>
                <w:sz w:val="24"/>
                <w:szCs w:val="24"/>
                <w:lang w:eastAsia="uk-UA"/>
              </w:rPr>
              <w:t>дії</w:t>
            </w:r>
            <w:proofErr w:type="spellEnd"/>
            <w:r w:rsidRPr="00FD1047">
              <w:rPr>
                <w:rFonts w:ascii="Times New Roman" w:hAnsi="Times New Roman"/>
                <w:sz w:val="24"/>
                <w:szCs w:val="24"/>
                <w:lang w:eastAsia="uk-UA"/>
              </w:rPr>
              <w:t xml:space="preserve"> </w:t>
            </w:r>
            <w:r w:rsidRPr="00FD1047">
              <w:rPr>
                <w:rFonts w:ascii="Times New Roman" w:eastAsia="Malgun Gothic Semilight" w:hAnsi="Times New Roman"/>
                <w:sz w:val="24"/>
                <w:szCs w:val="24"/>
                <w:lang w:eastAsia="uk-UA"/>
              </w:rPr>
              <w:t>договору</w:t>
            </w:r>
          </w:p>
        </w:tc>
        <w:tc>
          <w:tcPr>
            <w:tcW w:w="1418" w:type="dxa"/>
            <w:vAlign w:val="center"/>
          </w:tcPr>
          <w:p w:rsidR="00FD1047" w:rsidRPr="00FD1047" w:rsidRDefault="00FD1047" w:rsidP="0043059C">
            <w:pPr>
              <w:pStyle w:val="a3"/>
              <w:rPr>
                <w:rFonts w:ascii="Times New Roman" w:hAnsi="Times New Roman"/>
                <w:sz w:val="24"/>
                <w:szCs w:val="24"/>
                <w:lang w:val="uk-UA"/>
              </w:rPr>
            </w:pPr>
            <w:r w:rsidRPr="00FD1047">
              <w:rPr>
                <w:rFonts w:ascii="Times New Roman" w:hAnsi="Times New Roman"/>
                <w:sz w:val="24"/>
                <w:szCs w:val="24"/>
                <w:lang w:eastAsia="uk-UA"/>
              </w:rPr>
              <w:t xml:space="preserve">Статус </w:t>
            </w:r>
            <w:proofErr w:type="spellStart"/>
            <w:r w:rsidRPr="00FD1047">
              <w:rPr>
                <w:rFonts w:ascii="Times New Roman" w:hAnsi="Times New Roman"/>
                <w:sz w:val="24"/>
                <w:szCs w:val="24"/>
                <w:lang w:eastAsia="uk-UA"/>
              </w:rPr>
              <w:t>виконання</w:t>
            </w:r>
            <w:proofErr w:type="spellEnd"/>
            <w:r>
              <w:rPr>
                <w:rFonts w:ascii="Times New Roman" w:hAnsi="Times New Roman"/>
                <w:sz w:val="24"/>
                <w:szCs w:val="24"/>
                <w:lang w:val="uk-UA" w:eastAsia="uk-UA"/>
              </w:rPr>
              <w:t xml:space="preserve"> договору </w:t>
            </w:r>
          </w:p>
        </w:tc>
      </w:tr>
      <w:tr w:rsidR="00FD1047" w:rsidRPr="00FD1047" w:rsidTr="00FD1047">
        <w:tc>
          <w:tcPr>
            <w:tcW w:w="709" w:type="dxa"/>
          </w:tcPr>
          <w:p w:rsidR="00FD1047" w:rsidRPr="00FD1047" w:rsidRDefault="00FD1047" w:rsidP="0043059C">
            <w:pPr>
              <w:pStyle w:val="a3"/>
              <w:rPr>
                <w:rFonts w:ascii="Times New Roman" w:hAnsi="Times New Roman"/>
                <w:sz w:val="24"/>
                <w:szCs w:val="24"/>
              </w:rPr>
            </w:pPr>
          </w:p>
        </w:tc>
        <w:tc>
          <w:tcPr>
            <w:tcW w:w="1276" w:type="dxa"/>
          </w:tcPr>
          <w:p w:rsidR="00FD1047" w:rsidRPr="00FD1047" w:rsidRDefault="00FD1047" w:rsidP="0043059C">
            <w:pPr>
              <w:pStyle w:val="a3"/>
              <w:rPr>
                <w:rFonts w:ascii="Times New Roman" w:hAnsi="Times New Roman"/>
                <w:sz w:val="24"/>
                <w:szCs w:val="24"/>
              </w:rPr>
            </w:pPr>
          </w:p>
        </w:tc>
        <w:tc>
          <w:tcPr>
            <w:tcW w:w="1417" w:type="dxa"/>
          </w:tcPr>
          <w:p w:rsidR="00FD1047" w:rsidRPr="00FD1047" w:rsidRDefault="00FD1047" w:rsidP="0043059C">
            <w:pPr>
              <w:pStyle w:val="a3"/>
              <w:rPr>
                <w:rFonts w:ascii="Times New Roman" w:hAnsi="Times New Roman"/>
                <w:sz w:val="24"/>
                <w:szCs w:val="24"/>
              </w:rPr>
            </w:pPr>
          </w:p>
        </w:tc>
        <w:tc>
          <w:tcPr>
            <w:tcW w:w="3402" w:type="dxa"/>
          </w:tcPr>
          <w:p w:rsidR="00FD1047" w:rsidRPr="00FD1047" w:rsidRDefault="00FD1047" w:rsidP="0043059C">
            <w:pPr>
              <w:pStyle w:val="a3"/>
              <w:rPr>
                <w:rFonts w:ascii="Times New Roman" w:hAnsi="Times New Roman"/>
                <w:sz w:val="24"/>
                <w:szCs w:val="24"/>
              </w:rPr>
            </w:pPr>
          </w:p>
        </w:tc>
        <w:tc>
          <w:tcPr>
            <w:tcW w:w="1701" w:type="dxa"/>
          </w:tcPr>
          <w:p w:rsidR="00FD1047" w:rsidRPr="00FD1047" w:rsidRDefault="00FD1047" w:rsidP="0043059C">
            <w:pPr>
              <w:pStyle w:val="a3"/>
              <w:rPr>
                <w:rFonts w:ascii="Times New Roman" w:hAnsi="Times New Roman"/>
                <w:sz w:val="24"/>
                <w:szCs w:val="24"/>
              </w:rPr>
            </w:pPr>
          </w:p>
        </w:tc>
        <w:tc>
          <w:tcPr>
            <w:tcW w:w="1418" w:type="dxa"/>
          </w:tcPr>
          <w:p w:rsidR="00FD1047" w:rsidRPr="00FD1047" w:rsidRDefault="00FD1047" w:rsidP="0043059C">
            <w:pPr>
              <w:pStyle w:val="a3"/>
              <w:rPr>
                <w:rFonts w:ascii="Times New Roman" w:hAnsi="Times New Roman"/>
                <w:sz w:val="24"/>
                <w:szCs w:val="24"/>
              </w:rPr>
            </w:pPr>
          </w:p>
        </w:tc>
      </w:tr>
      <w:tr w:rsidR="00FD1047" w:rsidRPr="00FD1047" w:rsidTr="00FD1047">
        <w:tc>
          <w:tcPr>
            <w:tcW w:w="709" w:type="dxa"/>
          </w:tcPr>
          <w:p w:rsidR="00FD1047" w:rsidRPr="00FD1047" w:rsidRDefault="00FD1047" w:rsidP="0043059C">
            <w:pPr>
              <w:pStyle w:val="a3"/>
              <w:rPr>
                <w:rFonts w:ascii="Times New Roman" w:hAnsi="Times New Roman"/>
                <w:sz w:val="24"/>
                <w:szCs w:val="24"/>
              </w:rPr>
            </w:pPr>
          </w:p>
        </w:tc>
        <w:tc>
          <w:tcPr>
            <w:tcW w:w="1276" w:type="dxa"/>
          </w:tcPr>
          <w:p w:rsidR="00FD1047" w:rsidRPr="00FD1047" w:rsidRDefault="00FD1047" w:rsidP="0043059C">
            <w:pPr>
              <w:pStyle w:val="a3"/>
              <w:rPr>
                <w:rFonts w:ascii="Times New Roman" w:hAnsi="Times New Roman"/>
                <w:sz w:val="24"/>
                <w:szCs w:val="24"/>
              </w:rPr>
            </w:pPr>
          </w:p>
        </w:tc>
        <w:tc>
          <w:tcPr>
            <w:tcW w:w="1417" w:type="dxa"/>
          </w:tcPr>
          <w:p w:rsidR="00FD1047" w:rsidRPr="00FD1047" w:rsidRDefault="00FD1047" w:rsidP="0043059C">
            <w:pPr>
              <w:pStyle w:val="a3"/>
              <w:rPr>
                <w:rFonts w:ascii="Times New Roman" w:hAnsi="Times New Roman"/>
                <w:sz w:val="24"/>
                <w:szCs w:val="24"/>
              </w:rPr>
            </w:pPr>
          </w:p>
        </w:tc>
        <w:tc>
          <w:tcPr>
            <w:tcW w:w="3402" w:type="dxa"/>
          </w:tcPr>
          <w:p w:rsidR="00FD1047" w:rsidRPr="00FD1047" w:rsidRDefault="00FD1047" w:rsidP="0043059C">
            <w:pPr>
              <w:pStyle w:val="a3"/>
              <w:rPr>
                <w:rFonts w:ascii="Times New Roman" w:hAnsi="Times New Roman"/>
                <w:sz w:val="24"/>
                <w:szCs w:val="24"/>
              </w:rPr>
            </w:pPr>
          </w:p>
        </w:tc>
        <w:tc>
          <w:tcPr>
            <w:tcW w:w="1701" w:type="dxa"/>
          </w:tcPr>
          <w:p w:rsidR="00FD1047" w:rsidRPr="00FD1047" w:rsidRDefault="00FD1047" w:rsidP="0043059C">
            <w:pPr>
              <w:pStyle w:val="a3"/>
              <w:rPr>
                <w:rFonts w:ascii="Times New Roman" w:hAnsi="Times New Roman"/>
                <w:sz w:val="24"/>
                <w:szCs w:val="24"/>
              </w:rPr>
            </w:pPr>
          </w:p>
        </w:tc>
        <w:tc>
          <w:tcPr>
            <w:tcW w:w="1418" w:type="dxa"/>
          </w:tcPr>
          <w:p w:rsidR="00FD1047" w:rsidRPr="00FD1047" w:rsidRDefault="00FD1047" w:rsidP="0043059C">
            <w:pPr>
              <w:pStyle w:val="a3"/>
              <w:rPr>
                <w:rFonts w:ascii="Times New Roman" w:hAnsi="Times New Roman"/>
                <w:sz w:val="24"/>
                <w:szCs w:val="24"/>
              </w:rPr>
            </w:pPr>
          </w:p>
        </w:tc>
      </w:tr>
    </w:tbl>
    <w:p w:rsidR="00FD1047" w:rsidRPr="0070696D" w:rsidRDefault="00FD1047" w:rsidP="00FD1047">
      <w:pPr>
        <w:spacing w:after="0"/>
        <w:rPr>
          <w:sz w:val="24"/>
          <w:szCs w:val="24"/>
        </w:rPr>
      </w:pPr>
      <w:r>
        <w:rPr>
          <w:sz w:val="24"/>
          <w:szCs w:val="24"/>
        </w:rPr>
        <w:t>__________________________</w:t>
      </w:r>
    </w:p>
    <w:p w:rsidR="00FD1047" w:rsidRPr="0070696D" w:rsidRDefault="00FD1047" w:rsidP="00FD1047">
      <w:pPr>
        <w:spacing w:after="0"/>
        <w:rPr>
          <w:sz w:val="24"/>
          <w:szCs w:val="24"/>
          <w:vertAlign w:val="superscript"/>
        </w:rPr>
      </w:pPr>
      <w:r w:rsidRPr="0070696D">
        <w:rPr>
          <w:sz w:val="24"/>
          <w:szCs w:val="24"/>
          <w:vertAlign w:val="superscript"/>
        </w:rPr>
        <w:t>(пі</w:t>
      </w:r>
      <w:r w:rsidRPr="0070696D">
        <w:rPr>
          <w:rFonts w:eastAsia="Malgun Gothic Semilight"/>
          <w:sz w:val="24"/>
          <w:szCs w:val="24"/>
          <w:vertAlign w:val="superscript"/>
        </w:rPr>
        <w:t>дпис</w:t>
      </w:r>
      <w:r w:rsidRPr="0070696D">
        <w:rPr>
          <w:sz w:val="24"/>
          <w:szCs w:val="24"/>
          <w:vertAlign w:val="superscript"/>
        </w:rPr>
        <w:t xml:space="preserve">, </w:t>
      </w:r>
      <w:r w:rsidRPr="0070696D">
        <w:rPr>
          <w:rFonts w:eastAsia="Malgun Gothic Semilight"/>
          <w:sz w:val="24"/>
          <w:szCs w:val="24"/>
          <w:vertAlign w:val="superscript"/>
        </w:rPr>
        <w:t>М</w:t>
      </w:r>
      <w:r w:rsidRPr="0070696D">
        <w:rPr>
          <w:sz w:val="24"/>
          <w:szCs w:val="24"/>
          <w:vertAlign w:val="superscript"/>
        </w:rPr>
        <w:t>.</w:t>
      </w:r>
      <w:r w:rsidRPr="0070696D">
        <w:rPr>
          <w:rFonts w:eastAsia="Malgun Gothic Semilight"/>
          <w:sz w:val="24"/>
          <w:szCs w:val="24"/>
          <w:vertAlign w:val="superscript"/>
        </w:rPr>
        <w:t>П</w:t>
      </w:r>
      <w:r w:rsidRPr="0070696D">
        <w:rPr>
          <w:sz w:val="24"/>
          <w:szCs w:val="24"/>
          <w:vertAlign w:val="superscript"/>
        </w:rPr>
        <w:t>.)</w:t>
      </w:r>
    </w:p>
    <w:p w:rsidR="00FD1047" w:rsidRPr="0070696D" w:rsidRDefault="00FD1047" w:rsidP="00FD1047">
      <w:pPr>
        <w:spacing w:after="0"/>
        <w:rPr>
          <w:sz w:val="24"/>
          <w:szCs w:val="24"/>
        </w:rPr>
      </w:pPr>
      <w:r w:rsidRPr="0070696D">
        <w:rPr>
          <w:sz w:val="24"/>
          <w:szCs w:val="24"/>
        </w:rPr>
        <w:t>____________________________________</w:t>
      </w:r>
    </w:p>
    <w:p w:rsidR="00FD1047" w:rsidRPr="0070696D" w:rsidRDefault="00FD1047" w:rsidP="00FD1047">
      <w:pPr>
        <w:spacing w:after="0"/>
        <w:rPr>
          <w:sz w:val="24"/>
          <w:szCs w:val="24"/>
          <w:vertAlign w:val="superscript"/>
        </w:rPr>
      </w:pPr>
      <w:r w:rsidRPr="0070696D">
        <w:rPr>
          <w:sz w:val="24"/>
          <w:szCs w:val="24"/>
          <w:vertAlign w:val="superscript"/>
        </w:rPr>
        <w:t>(прі</w:t>
      </w:r>
      <w:r w:rsidRPr="0070696D">
        <w:rPr>
          <w:rFonts w:eastAsia="Malgun Gothic Semilight"/>
          <w:sz w:val="24"/>
          <w:szCs w:val="24"/>
          <w:vertAlign w:val="superscript"/>
        </w:rPr>
        <w:t>звище</w:t>
      </w:r>
      <w:r w:rsidRPr="0070696D">
        <w:rPr>
          <w:sz w:val="24"/>
          <w:szCs w:val="24"/>
          <w:vertAlign w:val="superscript"/>
        </w:rPr>
        <w:t>, і</w:t>
      </w:r>
      <w:r w:rsidRPr="0070696D">
        <w:rPr>
          <w:rFonts w:eastAsia="Malgun Gothic Semilight"/>
          <w:sz w:val="24"/>
          <w:szCs w:val="24"/>
          <w:vertAlign w:val="superscript"/>
        </w:rPr>
        <w:t>м</w:t>
      </w:r>
      <w:r w:rsidRPr="0070696D">
        <w:rPr>
          <w:sz w:val="24"/>
          <w:szCs w:val="24"/>
          <w:vertAlign w:val="superscript"/>
        </w:rPr>
        <w:t>'</w:t>
      </w:r>
      <w:r w:rsidRPr="0070696D">
        <w:rPr>
          <w:rFonts w:eastAsia="Malgun Gothic Semilight"/>
          <w:sz w:val="24"/>
          <w:szCs w:val="24"/>
          <w:vertAlign w:val="superscript"/>
        </w:rPr>
        <w:t>я</w:t>
      </w:r>
      <w:r w:rsidRPr="0070696D">
        <w:rPr>
          <w:sz w:val="24"/>
          <w:szCs w:val="24"/>
          <w:vertAlign w:val="superscript"/>
        </w:rPr>
        <w:t xml:space="preserve">, </w:t>
      </w:r>
      <w:r w:rsidRPr="0070696D">
        <w:rPr>
          <w:rFonts w:eastAsia="Malgun Gothic Semilight"/>
          <w:sz w:val="24"/>
          <w:szCs w:val="24"/>
          <w:vertAlign w:val="superscript"/>
        </w:rPr>
        <w:t>по</w:t>
      </w:r>
      <w:r w:rsidRPr="0070696D">
        <w:rPr>
          <w:sz w:val="24"/>
          <w:szCs w:val="24"/>
          <w:vertAlign w:val="superscript"/>
        </w:rPr>
        <w:t xml:space="preserve"> батькові </w:t>
      </w:r>
      <w:r w:rsidRPr="0070696D">
        <w:rPr>
          <w:rFonts w:eastAsia="Malgun Gothic Semilight"/>
          <w:sz w:val="24"/>
          <w:szCs w:val="24"/>
          <w:vertAlign w:val="superscript"/>
        </w:rPr>
        <w:t>особи</w:t>
      </w:r>
      <w:r w:rsidRPr="0070696D">
        <w:rPr>
          <w:sz w:val="24"/>
          <w:szCs w:val="24"/>
          <w:vertAlign w:val="superscript"/>
        </w:rPr>
        <w:t xml:space="preserve">, </w:t>
      </w:r>
      <w:r w:rsidRPr="0070696D">
        <w:rPr>
          <w:rFonts w:eastAsia="Malgun Gothic Semilight"/>
          <w:sz w:val="24"/>
          <w:szCs w:val="24"/>
          <w:vertAlign w:val="superscript"/>
        </w:rPr>
        <w:t>що</w:t>
      </w:r>
      <w:r w:rsidRPr="0070696D">
        <w:rPr>
          <w:sz w:val="24"/>
          <w:szCs w:val="24"/>
          <w:vertAlign w:val="superscript"/>
        </w:rPr>
        <w:t xml:space="preserve"> </w:t>
      </w:r>
      <w:r w:rsidRPr="0070696D">
        <w:rPr>
          <w:rFonts w:eastAsia="Malgun Gothic Semilight"/>
          <w:sz w:val="24"/>
          <w:szCs w:val="24"/>
          <w:vertAlign w:val="superscript"/>
        </w:rPr>
        <w:t>п</w:t>
      </w:r>
      <w:r w:rsidRPr="0070696D">
        <w:rPr>
          <w:sz w:val="24"/>
          <w:szCs w:val="24"/>
          <w:vertAlign w:val="superscript"/>
        </w:rPr>
        <w:t>і</w:t>
      </w:r>
      <w:r w:rsidRPr="0070696D">
        <w:rPr>
          <w:rFonts w:eastAsia="Malgun Gothic Semilight"/>
          <w:sz w:val="24"/>
          <w:szCs w:val="24"/>
          <w:vertAlign w:val="superscript"/>
        </w:rPr>
        <w:t>дписала</w:t>
      </w:r>
      <w:r w:rsidRPr="0070696D">
        <w:rPr>
          <w:sz w:val="24"/>
          <w:szCs w:val="24"/>
          <w:vertAlign w:val="superscript"/>
        </w:rPr>
        <w:t xml:space="preserve">, </w:t>
      </w:r>
      <w:r w:rsidRPr="0070696D">
        <w:rPr>
          <w:rFonts w:eastAsia="Malgun Gothic Semilight"/>
          <w:sz w:val="24"/>
          <w:szCs w:val="24"/>
          <w:vertAlign w:val="superscript"/>
        </w:rPr>
        <w:t>посада</w:t>
      </w:r>
      <w:r w:rsidRPr="0070696D">
        <w:rPr>
          <w:sz w:val="24"/>
          <w:szCs w:val="24"/>
          <w:vertAlign w:val="superscript"/>
        </w:rPr>
        <w:t>)</w:t>
      </w:r>
    </w:p>
    <w:p w:rsidR="00FD1047" w:rsidRPr="0070696D" w:rsidRDefault="00FD1047" w:rsidP="00FD1047">
      <w:pPr>
        <w:spacing w:after="0"/>
        <w:rPr>
          <w:sz w:val="24"/>
          <w:szCs w:val="24"/>
        </w:rPr>
      </w:pPr>
      <w:r w:rsidRPr="0070696D">
        <w:rPr>
          <w:sz w:val="24"/>
          <w:szCs w:val="24"/>
        </w:rPr>
        <w:t>І</w:t>
      </w:r>
      <w:r w:rsidRPr="0070696D">
        <w:rPr>
          <w:rFonts w:eastAsia="Malgun Gothic Semilight"/>
          <w:sz w:val="24"/>
          <w:szCs w:val="24"/>
        </w:rPr>
        <w:t>нструкц</w:t>
      </w:r>
      <w:r w:rsidRPr="0070696D">
        <w:rPr>
          <w:sz w:val="24"/>
          <w:szCs w:val="24"/>
        </w:rPr>
        <w:t>і</w:t>
      </w:r>
      <w:r w:rsidRPr="0070696D">
        <w:rPr>
          <w:rFonts w:eastAsia="Malgun Gothic Semilight"/>
          <w:sz w:val="24"/>
          <w:szCs w:val="24"/>
        </w:rPr>
        <w:t>я</w:t>
      </w:r>
      <w:r w:rsidRPr="0070696D">
        <w:rPr>
          <w:sz w:val="24"/>
          <w:szCs w:val="24"/>
        </w:rPr>
        <w:t xml:space="preserve"> </w:t>
      </w:r>
      <w:r w:rsidRPr="0070696D">
        <w:rPr>
          <w:rFonts w:eastAsia="Malgun Gothic Semilight"/>
          <w:sz w:val="24"/>
          <w:szCs w:val="24"/>
        </w:rPr>
        <w:t>щодо</w:t>
      </w:r>
      <w:r w:rsidRPr="0070696D">
        <w:rPr>
          <w:sz w:val="24"/>
          <w:szCs w:val="24"/>
        </w:rPr>
        <w:t xml:space="preserve"> </w:t>
      </w:r>
      <w:r w:rsidRPr="0070696D">
        <w:rPr>
          <w:rFonts w:eastAsia="Malgun Gothic Semilight"/>
          <w:sz w:val="24"/>
          <w:szCs w:val="24"/>
        </w:rPr>
        <w:t>заповнення</w:t>
      </w:r>
      <w:r w:rsidRPr="0070696D">
        <w:rPr>
          <w:sz w:val="24"/>
          <w:szCs w:val="24"/>
        </w:rPr>
        <w:t>:</w:t>
      </w:r>
    </w:p>
    <w:p w:rsidR="00FD1047" w:rsidRPr="0070696D" w:rsidRDefault="00FD1047" w:rsidP="00FD1047">
      <w:pPr>
        <w:spacing w:after="0"/>
        <w:rPr>
          <w:sz w:val="24"/>
          <w:szCs w:val="24"/>
        </w:rPr>
      </w:pPr>
      <w:r w:rsidRPr="0070696D">
        <w:rPr>
          <w:sz w:val="24"/>
          <w:szCs w:val="24"/>
        </w:rPr>
        <w:t>1). У даній формі наводяться відомості про досвід виконання договорів.</w:t>
      </w:r>
    </w:p>
    <w:p w:rsidR="00FD1047" w:rsidRPr="0070696D" w:rsidRDefault="00FD1047" w:rsidP="00FD1047">
      <w:pPr>
        <w:spacing w:after="0"/>
        <w:rPr>
          <w:sz w:val="24"/>
          <w:szCs w:val="24"/>
        </w:rPr>
      </w:pPr>
      <w:r w:rsidRPr="0070696D">
        <w:rPr>
          <w:sz w:val="24"/>
          <w:szCs w:val="24"/>
        </w:rPr>
        <w:t>2). Форма відомостей має бути підписана керівником Учасника, або іншою уповноваженою особою.</w:t>
      </w:r>
    </w:p>
    <w:p w:rsidR="00202E70" w:rsidRPr="00202E70" w:rsidRDefault="00202E70" w:rsidP="00202E70">
      <w:pPr>
        <w:pStyle w:val="a3"/>
        <w:jc w:val="both"/>
        <w:rPr>
          <w:rFonts w:ascii="Times New Roman" w:hAnsi="Times New Roman"/>
          <w:i/>
          <w:sz w:val="20"/>
          <w:szCs w:val="20"/>
          <w:shd w:val="solid" w:color="FFFFFF" w:fill="FFFFFF"/>
        </w:rPr>
      </w:pPr>
      <w:r w:rsidRPr="00202E70">
        <w:rPr>
          <w:rFonts w:ascii="Times New Roman" w:hAnsi="Times New Roman"/>
          <w:i/>
          <w:sz w:val="20"/>
          <w:szCs w:val="20"/>
          <w:lang w:val="uk-UA"/>
        </w:rPr>
        <w:t>*</w:t>
      </w:r>
      <w:r w:rsidRPr="00202E70">
        <w:rPr>
          <w:rFonts w:ascii="Times New Roman" w:hAnsi="Times New Roman"/>
          <w:i/>
          <w:sz w:val="20"/>
          <w:szCs w:val="20"/>
          <w:shd w:val="solid" w:color="FFFFFF" w:fill="FFFFFF"/>
        </w:rPr>
        <w:t xml:space="preserve"> У </w:t>
      </w:r>
      <w:proofErr w:type="spellStart"/>
      <w:r w:rsidRPr="00202E70">
        <w:rPr>
          <w:rFonts w:ascii="Times New Roman" w:hAnsi="Times New Roman"/>
          <w:i/>
          <w:sz w:val="20"/>
          <w:szCs w:val="20"/>
          <w:shd w:val="solid" w:color="FFFFFF" w:fill="FFFFFF"/>
        </w:rPr>
        <w:t>разі</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проведення</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відкритих</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торгів</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згідно</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з</w:t>
      </w:r>
      <w:proofErr w:type="spellEnd"/>
      <w:r w:rsidRPr="00202E70">
        <w:rPr>
          <w:rFonts w:ascii="Times New Roman" w:hAnsi="Times New Roman"/>
          <w:i/>
          <w:sz w:val="20"/>
          <w:szCs w:val="20"/>
          <w:shd w:val="solid" w:color="FFFFFF" w:fill="FFFFFF"/>
        </w:rPr>
        <w:t xml:space="preserve"> </w:t>
      </w:r>
      <w:r>
        <w:rPr>
          <w:rFonts w:ascii="Times New Roman" w:hAnsi="Times New Roman"/>
          <w:i/>
          <w:sz w:val="20"/>
          <w:szCs w:val="20"/>
          <w:shd w:val="solid" w:color="FFFFFF" w:fill="FFFFFF"/>
          <w:lang w:val="uk-UA"/>
        </w:rPr>
        <w:t>Постановою №1178</w:t>
      </w:r>
      <w:r w:rsidRPr="00202E70">
        <w:rPr>
          <w:rFonts w:ascii="Times New Roman" w:hAnsi="Times New Roman"/>
          <w:i/>
          <w:sz w:val="20"/>
          <w:szCs w:val="20"/>
          <w:shd w:val="solid" w:color="FFFFFF" w:fill="FFFFFF"/>
        </w:rPr>
        <w:t xml:space="preserve"> для </w:t>
      </w:r>
      <w:proofErr w:type="spellStart"/>
      <w:r w:rsidRPr="00202E70">
        <w:rPr>
          <w:rFonts w:ascii="Times New Roman" w:hAnsi="Times New Roman"/>
          <w:i/>
          <w:sz w:val="20"/>
          <w:szCs w:val="20"/>
          <w:shd w:val="solid" w:color="FFFFFF" w:fill="FFFFFF"/>
        </w:rPr>
        <w:t>закупівлі</w:t>
      </w:r>
      <w:proofErr w:type="spellEnd"/>
      <w:r w:rsidRPr="00202E70">
        <w:rPr>
          <w:rFonts w:ascii="Times New Roman" w:hAnsi="Times New Roman"/>
          <w:i/>
          <w:sz w:val="20"/>
          <w:szCs w:val="20"/>
          <w:shd w:val="solid" w:color="FFFFFF" w:fill="FFFFFF"/>
        </w:rPr>
        <w:t xml:space="preserve"> твердого </w:t>
      </w:r>
      <w:proofErr w:type="spellStart"/>
      <w:r w:rsidRPr="00202E70">
        <w:rPr>
          <w:rFonts w:ascii="Times New Roman" w:hAnsi="Times New Roman"/>
          <w:i/>
          <w:sz w:val="20"/>
          <w:szCs w:val="20"/>
          <w:shd w:val="solid" w:color="FFFFFF" w:fill="FFFFFF"/>
        </w:rPr>
        <w:t>палива</w:t>
      </w:r>
      <w:proofErr w:type="spellEnd"/>
      <w:r w:rsidRPr="00202E70">
        <w:rPr>
          <w:rFonts w:ascii="Times New Roman" w:hAnsi="Times New Roman"/>
          <w:i/>
          <w:sz w:val="20"/>
          <w:szCs w:val="20"/>
          <w:shd w:val="solid" w:color="FFFFFF" w:fill="FFFFFF"/>
        </w:rPr>
        <w:t xml:space="preserve">, бензину, дизельного </w:t>
      </w:r>
      <w:proofErr w:type="spellStart"/>
      <w:r w:rsidRPr="00202E70">
        <w:rPr>
          <w:rFonts w:ascii="Times New Roman" w:hAnsi="Times New Roman"/>
          <w:i/>
          <w:sz w:val="20"/>
          <w:szCs w:val="20"/>
          <w:shd w:val="solid" w:color="FFFFFF" w:fill="FFFFFF"/>
        </w:rPr>
        <w:t>пального</w:t>
      </w:r>
      <w:proofErr w:type="spellEnd"/>
      <w:r w:rsidRPr="00202E70">
        <w:rPr>
          <w:rFonts w:ascii="Times New Roman" w:hAnsi="Times New Roman"/>
          <w:i/>
          <w:sz w:val="20"/>
          <w:szCs w:val="20"/>
          <w:shd w:val="solid" w:color="FFFFFF" w:fill="FFFFFF"/>
        </w:rPr>
        <w:t xml:space="preserve">, природного газу, газу </w:t>
      </w:r>
      <w:proofErr w:type="spellStart"/>
      <w:r w:rsidRPr="00202E70">
        <w:rPr>
          <w:rFonts w:ascii="Times New Roman" w:hAnsi="Times New Roman"/>
          <w:i/>
          <w:sz w:val="20"/>
          <w:szCs w:val="20"/>
          <w:shd w:val="solid" w:color="FFFFFF" w:fill="FFFFFF"/>
        </w:rPr>
        <w:t>скрапленого</w:t>
      </w:r>
      <w:proofErr w:type="spellEnd"/>
      <w:r w:rsidRPr="00202E70">
        <w:rPr>
          <w:rFonts w:ascii="Times New Roman" w:hAnsi="Times New Roman"/>
          <w:i/>
          <w:sz w:val="20"/>
          <w:szCs w:val="20"/>
          <w:shd w:val="solid" w:color="FFFFFF" w:fill="FFFFFF"/>
        </w:rPr>
        <w:t xml:space="preserve"> для </w:t>
      </w:r>
      <w:proofErr w:type="spellStart"/>
      <w:r w:rsidRPr="00202E70">
        <w:rPr>
          <w:rFonts w:ascii="Times New Roman" w:hAnsi="Times New Roman"/>
          <w:i/>
          <w:sz w:val="20"/>
          <w:szCs w:val="20"/>
          <w:shd w:val="solid" w:color="FFFFFF" w:fill="FFFFFF"/>
        </w:rPr>
        <w:t>автомобільного</w:t>
      </w:r>
      <w:proofErr w:type="spellEnd"/>
      <w:r w:rsidRPr="00202E70">
        <w:rPr>
          <w:rFonts w:ascii="Times New Roman" w:hAnsi="Times New Roman"/>
          <w:i/>
          <w:sz w:val="20"/>
          <w:szCs w:val="20"/>
          <w:shd w:val="solid" w:color="FFFFFF" w:fill="FFFFFF"/>
        </w:rPr>
        <w:t xml:space="preserve"> транспорту, газу </w:t>
      </w:r>
      <w:proofErr w:type="spellStart"/>
      <w:r w:rsidRPr="00202E70">
        <w:rPr>
          <w:rFonts w:ascii="Times New Roman" w:hAnsi="Times New Roman"/>
          <w:i/>
          <w:sz w:val="20"/>
          <w:szCs w:val="20"/>
          <w:shd w:val="solid" w:color="FFFFFF" w:fill="FFFFFF"/>
        </w:rPr>
        <w:t>скрапленого</w:t>
      </w:r>
      <w:proofErr w:type="spellEnd"/>
      <w:r w:rsidRPr="00202E70">
        <w:rPr>
          <w:rFonts w:ascii="Times New Roman" w:hAnsi="Times New Roman"/>
          <w:i/>
          <w:sz w:val="20"/>
          <w:szCs w:val="20"/>
          <w:shd w:val="solid" w:color="FFFFFF" w:fill="FFFFFF"/>
        </w:rPr>
        <w:t xml:space="preserve"> для </w:t>
      </w:r>
      <w:proofErr w:type="spellStart"/>
      <w:r w:rsidRPr="00202E70">
        <w:rPr>
          <w:rFonts w:ascii="Times New Roman" w:hAnsi="Times New Roman"/>
          <w:i/>
          <w:sz w:val="20"/>
          <w:szCs w:val="20"/>
          <w:shd w:val="solid" w:color="FFFFFF" w:fill="FFFFFF"/>
        </w:rPr>
        <w:t>комунально-побутового</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споживання</w:t>
      </w:r>
      <w:proofErr w:type="spellEnd"/>
      <w:r w:rsidRPr="00202E70">
        <w:rPr>
          <w:rFonts w:ascii="Times New Roman" w:hAnsi="Times New Roman"/>
          <w:i/>
          <w:sz w:val="20"/>
          <w:szCs w:val="20"/>
          <w:shd w:val="solid" w:color="FFFFFF" w:fill="FFFFFF"/>
        </w:rPr>
        <w:t xml:space="preserve"> та </w:t>
      </w:r>
      <w:proofErr w:type="spellStart"/>
      <w:r w:rsidRPr="00202E70">
        <w:rPr>
          <w:rFonts w:ascii="Times New Roman" w:hAnsi="Times New Roman"/>
          <w:i/>
          <w:sz w:val="20"/>
          <w:szCs w:val="20"/>
          <w:shd w:val="solid" w:color="FFFFFF" w:fill="FFFFFF"/>
        </w:rPr>
        <w:t>промислових</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цілей</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електричної</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енергії</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положення</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пунктів</w:t>
      </w:r>
      <w:proofErr w:type="spellEnd"/>
      <w:r w:rsidRPr="00202E70">
        <w:rPr>
          <w:rFonts w:ascii="Times New Roman" w:hAnsi="Times New Roman"/>
          <w:i/>
          <w:sz w:val="20"/>
          <w:szCs w:val="20"/>
          <w:shd w:val="solid" w:color="FFFFFF" w:fill="FFFFFF"/>
        </w:rPr>
        <w:t xml:space="preserve"> 1 </w:t>
      </w:r>
      <w:proofErr w:type="spellStart"/>
      <w:r w:rsidRPr="00202E70">
        <w:rPr>
          <w:rFonts w:ascii="Times New Roman" w:hAnsi="Times New Roman"/>
          <w:i/>
          <w:sz w:val="20"/>
          <w:szCs w:val="20"/>
          <w:shd w:val="solid" w:color="FFFFFF" w:fill="FFFFFF"/>
        </w:rPr>
        <w:t>і</w:t>
      </w:r>
      <w:proofErr w:type="spellEnd"/>
      <w:r w:rsidRPr="00202E70">
        <w:rPr>
          <w:rFonts w:ascii="Times New Roman" w:hAnsi="Times New Roman"/>
          <w:i/>
          <w:sz w:val="20"/>
          <w:szCs w:val="20"/>
          <w:shd w:val="solid" w:color="FFFFFF" w:fill="FFFFFF"/>
        </w:rPr>
        <w:t xml:space="preserve"> 2 </w:t>
      </w:r>
      <w:proofErr w:type="spellStart"/>
      <w:r w:rsidRPr="00202E70">
        <w:rPr>
          <w:rFonts w:ascii="Times New Roman" w:hAnsi="Times New Roman"/>
          <w:i/>
          <w:sz w:val="20"/>
          <w:szCs w:val="20"/>
          <w:shd w:val="solid" w:color="FFFFFF" w:fill="FFFFFF"/>
        </w:rPr>
        <w:t>частини</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другої</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статті</w:t>
      </w:r>
      <w:proofErr w:type="spellEnd"/>
      <w:r w:rsidRPr="00202E70">
        <w:rPr>
          <w:rFonts w:ascii="Times New Roman" w:hAnsi="Times New Roman"/>
          <w:i/>
          <w:sz w:val="20"/>
          <w:szCs w:val="20"/>
          <w:shd w:val="solid" w:color="FFFFFF" w:fill="FFFFFF"/>
        </w:rPr>
        <w:t xml:space="preserve"> 16 Закону </w:t>
      </w:r>
      <w:proofErr w:type="spellStart"/>
      <w:r w:rsidRPr="00202E70">
        <w:rPr>
          <w:rFonts w:ascii="Times New Roman" w:hAnsi="Times New Roman"/>
          <w:i/>
          <w:sz w:val="20"/>
          <w:szCs w:val="20"/>
          <w:shd w:val="solid" w:color="FFFFFF" w:fill="FFFFFF"/>
        </w:rPr>
        <w:t>замовником</w:t>
      </w:r>
      <w:proofErr w:type="spellEnd"/>
      <w:r w:rsidRPr="00202E70">
        <w:rPr>
          <w:rFonts w:ascii="Times New Roman" w:hAnsi="Times New Roman"/>
          <w:i/>
          <w:sz w:val="20"/>
          <w:szCs w:val="20"/>
          <w:shd w:val="solid" w:color="FFFFFF" w:fill="FFFFFF"/>
        </w:rPr>
        <w:t xml:space="preserve"> не </w:t>
      </w:r>
      <w:proofErr w:type="spellStart"/>
      <w:r w:rsidRPr="00202E70">
        <w:rPr>
          <w:rFonts w:ascii="Times New Roman" w:hAnsi="Times New Roman"/>
          <w:i/>
          <w:sz w:val="20"/>
          <w:szCs w:val="20"/>
          <w:shd w:val="solid" w:color="FFFFFF" w:fill="FFFFFF"/>
        </w:rPr>
        <w:t>застосовуються</w:t>
      </w:r>
      <w:proofErr w:type="spellEnd"/>
      <w:r w:rsidRPr="00202E70">
        <w:rPr>
          <w:rFonts w:ascii="Times New Roman" w:hAnsi="Times New Roman"/>
          <w:i/>
          <w:sz w:val="20"/>
          <w:szCs w:val="20"/>
          <w:shd w:val="solid" w:color="FFFFFF" w:fill="FFFFFF"/>
        </w:rPr>
        <w:t>.</w:t>
      </w:r>
    </w:p>
    <w:p w:rsidR="00202E70" w:rsidRPr="00202E70" w:rsidRDefault="00202E70" w:rsidP="00202E70">
      <w:pPr>
        <w:pStyle w:val="a3"/>
        <w:jc w:val="both"/>
        <w:rPr>
          <w:rFonts w:ascii="Times New Roman" w:hAnsi="Times New Roman"/>
          <w:i/>
          <w:sz w:val="20"/>
          <w:szCs w:val="20"/>
          <w:lang w:val="uk-UA"/>
        </w:rPr>
      </w:pPr>
      <w:r w:rsidRPr="00202E70">
        <w:rPr>
          <w:rFonts w:ascii="Times New Roman" w:hAnsi="Times New Roman"/>
          <w:i/>
          <w:sz w:val="20"/>
          <w:szCs w:val="20"/>
          <w:shd w:val="solid" w:color="FFFFFF" w:fill="FFFFFF"/>
        </w:rPr>
        <w:t xml:space="preserve">У </w:t>
      </w:r>
      <w:proofErr w:type="spellStart"/>
      <w:r w:rsidRPr="00202E70">
        <w:rPr>
          <w:rFonts w:ascii="Times New Roman" w:hAnsi="Times New Roman"/>
          <w:i/>
          <w:sz w:val="20"/>
          <w:szCs w:val="20"/>
          <w:shd w:val="solid" w:color="FFFFFF" w:fill="FFFFFF"/>
        </w:rPr>
        <w:t>разі</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здійснення</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закупівель</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визначених</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абзацом</w:t>
      </w:r>
      <w:proofErr w:type="spellEnd"/>
      <w:r w:rsidRPr="00202E70">
        <w:rPr>
          <w:rFonts w:ascii="Times New Roman" w:hAnsi="Times New Roman"/>
          <w:i/>
          <w:sz w:val="20"/>
          <w:szCs w:val="20"/>
          <w:shd w:val="solid" w:color="FFFFFF" w:fill="FFFFFF"/>
        </w:rPr>
        <w:t xml:space="preserve"> першим пункту</w:t>
      </w:r>
      <w:r>
        <w:rPr>
          <w:rFonts w:ascii="Times New Roman" w:hAnsi="Times New Roman"/>
          <w:i/>
          <w:sz w:val="20"/>
          <w:szCs w:val="20"/>
          <w:shd w:val="solid" w:color="FFFFFF" w:fill="FFFFFF"/>
          <w:lang w:val="uk-UA"/>
        </w:rPr>
        <w:t xml:space="preserve"> 29 Постанови №1178</w:t>
      </w:r>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замовники</w:t>
      </w:r>
      <w:proofErr w:type="spellEnd"/>
      <w:r w:rsidRPr="00202E70">
        <w:rPr>
          <w:rFonts w:ascii="Times New Roman" w:hAnsi="Times New Roman"/>
          <w:i/>
          <w:sz w:val="20"/>
          <w:szCs w:val="20"/>
          <w:shd w:val="solid" w:color="FFFFFF" w:fill="FFFFFF"/>
        </w:rPr>
        <w:t xml:space="preserve"> не </w:t>
      </w:r>
      <w:proofErr w:type="spellStart"/>
      <w:r w:rsidRPr="00202E70">
        <w:rPr>
          <w:rFonts w:ascii="Times New Roman" w:hAnsi="Times New Roman"/>
          <w:i/>
          <w:sz w:val="20"/>
          <w:szCs w:val="20"/>
          <w:shd w:val="solid" w:color="FFFFFF" w:fill="FFFFFF"/>
        </w:rPr>
        <w:t>можуть</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установлювати</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вимоги</w:t>
      </w:r>
      <w:proofErr w:type="spellEnd"/>
      <w:r w:rsidRPr="00202E70">
        <w:rPr>
          <w:rFonts w:ascii="Times New Roman" w:hAnsi="Times New Roman"/>
          <w:i/>
          <w:sz w:val="20"/>
          <w:szCs w:val="20"/>
          <w:shd w:val="solid" w:color="FFFFFF" w:fill="FFFFFF"/>
        </w:rPr>
        <w:t xml:space="preserve"> до предмета </w:t>
      </w:r>
      <w:proofErr w:type="spellStart"/>
      <w:r w:rsidRPr="00202E70">
        <w:rPr>
          <w:rFonts w:ascii="Times New Roman" w:hAnsi="Times New Roman"/>
          <w:i/>
          <w:sz w:val="20"/>
          <w:szCs w:val="20"/>
          <w:shd w:val="solid" w:color="FFFFFF" w:fill="FFFFFF"/>
        </w:rPr>
        <w:t>закупівлі</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що</w:t>
      </w:r>
      <w:proofErr w:type="spellEnd"/>
      <w:r w:rsidRPr="00202E70">
        <w:rPr>
          <w:rFonts w:ascii="Times New Roman" w:hAnsi="Times New Roman"/>
          <w:i/>
          <w:sz w:val="20"/>
          <w:szCs w:val="20"/>
          <w:shd w:val="solid" w:color="FFFFFF" w:fill="FFFFFF"/>
        </w:rPr>
        <w:t xml:space="preserve"> не </w:t>
      </w:r>
      <w:proofErr w:type="spellStart"/>
      <w:r w:rsidRPr="00202E70">
        <w:rPr>
          <w:rFonts w:ascii="Times New Roman" w:hAnsi="Times New Roman"/>
          <w:i/>
          <w:sz w:val="20"/>
          <w:szCs w:val="20"/>
          <w:shd w:val="solid" w:color="FFFFFF" w:fill="FFFFFF"/>
        </w:rPr>
        <w:t>передбачені</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відповідним</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національним</w:t>
      </w:r>
      <w:proofErr w:type="spellEnd"/>
      <w:r w:rsidRPr="00202E70">
        <w:rPr>
          <w:rFonts w:ascii="Times New Roman" w:hAnsi="Times New Roman"/>
          <w:i/>
          <w:sz w:val="20"/>
          <w:szCs w:val="20"/>
          <w:shd w:val="solid" w:color="FFFFFF" w:fill="FFFFFF"/>
        </w:rPr>
        <w:t xml:space="preserve"> стандартом (за </w:t>
      </w:r>
      <w:proofErr w:type="spellStart"/>
      <w:r w:rsidRPr="00202E70">
        <w:rPr>
          <w:rFonts w:ascii="Times New Roman" w:hAnsi="Times New Roman"/>
          <w:i/>
          <w:sz w:val="20"/>
          <w:szCs w:val="20"/>
          <w:shd w:val="solid" w:color="FFFFFF" w:fill="FFFFFF"/>
        </w:rPr>
        <w:t>наявності</w:t>
      </w:r>
      <w:proofErr w:type="spellEnd"/>
      <w:r w:rsidRPr="00202E70">
        <w:rPr>
          <w:rFonts w:ascii="Times New Roman" w:hAnsi="Times New Roman"/>
          <w:i/>
          <w:sz w:val="20"/>
          <w:szCs w:val="20"/>
          <w:shd w:val="solid" w:color="FFFFFF" w:fill="FFFFFF"/>
        </w:rPr>
        <w:t xml:space="preserve"> </w:t>
      </w:r>
      <w:proofErr w:type="spellStart"/>
      <w:r w:rsidRPr="00202E70">
        <w:rPr>
          <w:rFonts w:ascii="Times New Roman" w:hAnsi="Times New Roman"/>
          <w:i/>
          <w:sz w:val="20"/>
          <w:szCs w:val="20"/>
          <w:shd w:val="solid" w:color="FFFFFF" w:fill="FFFFFF"/>
        </w:rPr>
        <w:t>національного</w:t>
      </w:r>
      <w:proofErr w:type="spellEnd"/>
      <w:r w:rsidRPr="00202E70">
        <w:rPr>
          <w:rFonts w:ascii="Times New Roman" w:hAnsi="Times New Roman"/>
          <w:i/>
          <w:sz w:val="20"/>
          <w:szCs w:val="20"/>
          <w:shd w:val="solid" w:color="FFFFFF" w:fill="FFFFFF"/>
        </w:rPr>
        <w:t xml:space="preserve"> стандарту для </w:t>
      </w:r>
      <w:proofErr w:type="spellStart"/>
      <w:r w:rsidRPr="00202E70">
        <w:rPr>
          <w:rFonts w:ascii="Times New Roman" w:hAnsi="Times New Roman"/>
          <w:i/>
          <w:sz w:val="20"/>
          <w:szCs w:val="20"/>
          <w:shd w:val="solid" w:color="FFFFFF" w:fill="FFFFFF"/>
        </w:rPr>
        <w:t>відповідного</w:t>
      </w:r>
      <w:proofErr w:type="spellEnd"/>
      <w:r w:rsidRPr="00202E70">
        <w:rPr>
          <w:rFonts w:ascii="Times New Roman" w:hAnsi="Times New Roman"/>
          <w:i/>
          <w:sz w:val="20"/>
          <w:szCs w:val="20"/>
          <w:shd w:val="solid" w:color="FFFFFF" w:fill="FFFFFF"/>
        </w:rPr>
        <w:t xml:space="preserve"> предмета </w:t>
      </w:r>
      <w:proofErr w:type="spellStart"/>
      <w:r w:rsidRPr="00202E70">
        <w:rPr>
          <w:rFonts w:ascii="Times New Roman" w:hAnsi="Times New Roman"/>
          <w:i/>
          <w:sz w:val="20"/>
          <w:szCs w:val="20"/>
          <w:shd w:val="solid" w:color="FFFFFF" w:fill="FFFFFF"/>
        </w:rPr>
        <w:t>закупівлі</w:t>
      </w:r>
      <w:proofErr w:type="spellEnd"/>
      <w:r w:rsidRPr="00202E70">
        <w:rPr>
          <w:rFonts w:ascii="Times New Roman" w:hAnsi="Times New Roman"/>
          <w:i/>
          <w:sz w:val="20"/>
          <w:szCs w:val="20"/>
          <w:shd w:val="solid" w:color="FFFFFF" w:fill="FFFFFF"/>
        </w:rPr>
        <w:t>).</w:t>
      </w:r>
    </w:p>
    <w:p w:rsidR="00202E70" w:rsidRDefault="00202E70" w:rsidP="00202E70">
      <w:pPr>
        <w:pStyle w:val="a3"/>
        <w:jc w:val="right"/>
        <w:rPr>
          <w:rFonts w:ascii="Times New Roman" w:hAnsi="Times New Roman"/>
          <w:sz w:val="24"/>
          <w:szCs w:val="24"/>
          <w:lang w:val="uk-UA"/>
        </w:rPr>
      </w:pPr>
    </w:p>
    <w:p w:rsidR="00202E70" w:rsidRDefault="00202E70" w:rsidP="00202E70">
      <w:pPr>
        <w:pStyle w:val="a3"/>
        <w:jc w:val="right"/>
        <w:rPr>
          <w:rFonts w:ascii="Times New Roman" w:hAnsi="Times New Roman"/>
          <w:sz w:val="24"/>
          <w:szCs w:val="24"/>
          <w:lang w:val="uk-UA"/>
        </w:rPr>
      </w:pPr>
    </w:p>
    <w:p w:rsidR="008B7417" w:rsidRDefault="00202E70" w:rsidP="00FD1047">
      <w:pPr>
        <w:pStyle w:val="a3"/>
        <w:jc w:val="center"/>
        <w:rPr>
          <w:rFonts w:ascii="Times New Roman" w:hAnsi="Times New Roman"/>
          <w:b/>
          <w:sz w:val="24"/>
          <w:szCs w:val="24"/>
          <w:lang w:val="uk-UA"/>
        </w:rPr>
      </w:pPr>
      <w:r w:rsidRPr="00FD1047">
        <w:rPr>
          <w:rFonts w:ascii="Times New Roman" w:hAnsi="Times New Roman"/>
          <w:b/>
          <w:sz w:val="24"/>
          <w:szCs w:val="24"/>
        </w:rPr>
        <w:t xml:space="preserve">ІІ. </w:t>
      </w:r>
      <w:proofErr w:type="spellStart"/>
      <w:r w:rsidRPr="00FD1047">
        <w:rPr>
          <w:rFonts w:ascii="Times New Roman" w:hAnsi="Times New Roman"/>
          <w:b/>
          <w:sz w:val="24"/>
          <w:szCs w:val="24"/>
        </w:rPr>
        <w:t>Перелік</w:t>
      </w:r>
      <w:proofErr w:type="spellEnd"/>
      <w:r w:rsidRPr="00FD1047">
        <w:rPr>
          <w:rFonts w:ascii="Times New Roman" w:hAnsi="Times New Roman"/>
          <w:b/>
          <w:sz w:val="24"/>
          <w:szCs w:val="24"/>
        </w:rPr>
        <w:t xml:space="preserve"> </w:t>
      </w:r>
      <w:proofErr w:type="spellStart"/>
      <w:r w:rsidRPr="00FD1047">
        <w:rPr>
          <w:rFonts w:ascii="Times New Roman" w:hAnsi="Times New Roman"/>
          <w:b/>
          <w:sz w:val="24"/>
          <w:szCs w:val="24"/>
        </w:rPr>
        <w:t>документів</w:t>
      </w:r>
      <w:proofErr w:type="spellEnd"/>
      <w:r w:rsidRPr="00FD1047">
        <w:rPr>
          <w:rFonts w:ascii="Times New Roman" w:hAnsi="Times New Roman"/>
          <w:b/>
          <w:sz w:val="24"/>
          <w:szCs w:val="24"/>
        </w:rPr>
        <w:t xml:space="preserve">, </w:t>
      </w:r>
      <w:proofErr w:type="spellStart"/>
      <w:r w:rsidRPr="00FD1047">
        <w:rPr>
          <w:rFonts w:ascii="Times New Roman" w:hAnsi="Times New Roman"/>
          <w:b/>
          <w:sz w:val="24"/>
          <w:szCs w:val="24"/>
        </w:rPr>
        <w:t>що</w:t>
      </w:r>
      <w:proofErr w:type="spellEnd"/>
      <w:r w:rsidRPr="00FD1047">
        <w:rPr>
          <w:rFonts w:ascii="Times New Roman" w:hAnsi="Times New Roman"/>
          <w:b/>
          <w:sz w:val="24"/>
          <w:szCs w:val="24"/>
        </w:rPr>
        <w:t xml:space="preserve"> </w:t>
      </w:r>
      <w:proofErr w:type="spellStart"/>
      <w:r w:rsidRPr="00FD1047">
        <w:rPr>
          <w:rFonts w:ascii="Times New Roman" w:hAnsi="Times New Roman"/>
          <w:b/>
          <w:sz w:val="24"/>
          <w:szCs w:val="24"/>
        </w:rPr>
        <w:t>підтверджують</w:t>
      </w:r>
      <w:proofErr w:type="spellEnd"/>
      <w:r w:rsidRPr="00FD1047">
        <w:rPr>
          <w:rFonts w:ascii="Times New Roman" w:hAnsi="Times New Roman"/>
          <w:b/>
          <w:sz w:val="24"/>
          <w:szCs w:val="24"/>
        </w:rPr>
        <w:t xml:space="preserve"> </w:t>
      </w:r>
      <w:proofErr w:type="spellStart"/>
      <w:r w:rsidRPr="00FD1047">
        <w:rPr>
          <w:rFonts w:ascii="Times New Roman" w:hAnsi="Times New Roman"/>
          <w:b/>
          <w:sz w:val="24"/>
          <w:szCs w:val="24"/>
        </w:rPr>
        <w:t>відсутність</w:t>
      </w:r>
      <w:proofErr w:type="spellEnd"/>
      <w:r w:rsidRPr="00FD1047">
        <w:rPr>
          <w:rFonts w:ascii="Times New Roman" w:hAnsi="Times New Roman"/>
          <w:b/>
          <w:sz w:val="24"/>
          <w:szCs w:val="24"/>
        </w:rPr>
        <w:t xml:space="preserve"> </w:t>
      </w:r>
      <w:proofErr w:type="spellStart"/>
      <w:r w:rsidRPr="00FD1047">
        <w:rPr>
          <w:rFonts w:ascii="Times New Roman" w:hAnsi="Times New Roman"/>
          <w:b/>
          <w:sz w:val="24"/>
          <w:szCs w:val="24"/>
        </w:rPr>
        <w:t>підстав</w:t>
      </w:r>
      <w:proofErr w:type="spellEnd"/>
      <w:r w:rsidRPr="00FD1047">
        <w:rPr>
          <w:rFonts w:ascii="Times New Roman" w:hAnsi="Times New Roman"/>
          <w:b/>
          <w:sz w:val="24"/>
          <w:szCs w:val="24"/>
        </w:rPr>
        <w:t xml:space="preserve"> для </w:t>
      </w:r>
      <w:proofErr w:type="spellStart"/>
      <w:r w:rsidRPr="00FD1047">
        <w:rPr>
          <w:rFonts w:ascii="Times New Roman" w:hAnsi="Times New Roman"/>
          <w:b/>
          <w:sz w:val="24"/>
          <w:szCs w:val="24"/>
        </w:rPr>
        <w:t>відмови</w:t>
      </w:r>
      <w:proofErr w:type="spellEnd"/>
      <w:r w:rsidRPr="00FD1047">
        <w:rPr>
          <w:rFonts w:ascii="Times New Roman" w:hAnsi="Times New Roman"/>
          <w:b/>
          <w:sz w:val="24"/>
          <w:szCs w:val="24"/>
        </w:rPr>
        <w:t xml:space="preserve"> в </w:t>
      </w:r>
      <w:proofErr w:type="spellStart"/>
      <w:r w:rsidRPr="00FD1047">
        <w:rPr>
          <w:rFonts w:ascii="Times New Roman" w:hAnsi="Times New Roman"/>
          <w:b/>
          <w:sz w:val="24"/>
          <w:szCs w:val="24"/>
        </w:rPr>
        <w:t>участі</w:t>
      </w:r>
      <w:proofErr w:type="spellEnd"/>
      <w:r w:rsidRPr="00FD1047">
        <w:rPr>
          <w:rFonts w:ascii="Times New Roman" w:hAnsi="Times New Roman"/>
          <w:b/>
          <w:sz w:val="24"/>
          <w:szCs w:val="24"/>
        </w:rPr>
        <w:t xml:space="preserve"> у торгах</w:t>
      </w:r>
    </w:p>
    <w:p w:rsidR="004C08F0" w:rsidRPr="004C08F0" w:rsidRDefault="004C08F0" w:rsidP="00FD1047">
      <w:pPr>
        <w:pStyle w:val="a3"/>
        <w:jc w:val="center"/>
        <w:rPr>
          <w:rFonts w:ascii="Times New Roman" w:hAnsi="Times New Roman"/>
          <w:b/>
          <w:sz w:val="24"/>
          <w:szCs w:val="24"/>
          <w:lang w:val="uk-UA"/>
        </w:rPr>
      </w:pPr>
      <w:proofErr w:type="spellStart"/>
      <w:r w:rsidRPr="004C08F0">
        <w:rPr>
          <w:rFonts w:ascii="Times New Roman" w:hAnsi="Times New Roman"/>
          <w:b/>
          <w:color w:val="000000"/>
          <w:sz w:val="24"/>
          <w:szCs w:val="24"/>
          <w:u w:val="single"/>
        </w:rPr>
        <w:t>Документи</w:t>
      </w:r>
      <w:proofErr w:type="spellEnd"/>
      <w:r w:rsidRPr="004C08F0">
        <w:rPr>
          <w:rFonts w:ascii="Times New Roman" w:hAnsi="Times New Roman"/>
          <w:b/>
          <w:color w:val="000000"/>
          <w:sz w:val="24"/>
          <w:szCs w:val="24"/>
          <w:u w:val="single"/>
        </w:rPr>
        <w:t xml:space="preserve">, </w:t>
      </w:r>
      <w:proofErr w:type="spellStart"/>
      <w:r w:rsidRPr="004C08F0">
        <w:rPr>
          <w:rFonts w:ascii="Times New Roman" w:hAnsi="Times New Roman"/>
          <w:b/>
          <w:color w:val="000000"/>
          <w:sz w:val="24"/>
          <w:szCs w:val="24"/>
          <w:u w:val="single"/>
        </w:rPr>
        <w:t>що</w:t>
      </w:r>
      <w:proofErr w:type="spellEnd"/>
      <w:r w:rsidRPr="004C08F0">
        <w:rPr>
          <w:rFonts w:ascii="Times New Roman" w:hAnsi="Times New Roman"/>
          <w:b/>
          <w:color w:val="000000"/>
          <w:sz w:val="24"/>
          <w:szCs w:val="24"/>
          <w:u w:val="single"/>
        </w:rPr>
        <w:t xml:space="preserve"> </w:t>
      </w:r>
      <w:proofErr w:type="spellStart"/>
      <w:r w:rsidRPr="004C08F0">
        <w:rPr>
          <w:rFonts w:ascii="Times New Roman" w:hAnsi="Times New Roman"/>
          <w:b/>
          <w:color w:val="000000"/>
          <w:sz w:val="24"/>
          <w:szCs w:val="24"/>
          <w:u w:val="single"/>
        </w:rPr>
        <w:t>вимагаються</w:t>
      </w:r>
      <w:proofErr w:type="spellEnd"/>
      <w:r w:rsidRPr="004C08F0">
        <w:rPr>
          <w:rFonts w:ascii="Times New Roman" w:hAnsi="Times New Roman"/>
          <w:b/>
          <w:color w:val="000000"/>
          <w:sz w:val="24"/>
          <w:szCs w:val="24"/>
          <w:u w:val="single"/>
        </w:rPr>
        <w:t xml:space="preserve"> </w:t>
      </w:r>
      <w:proofErr w:type="spellStart"/>
      <w:r w:rsidRPr="004C08F0">
        <w:rPr>
          <w:rFonts w:ascii="Times New Roman" w:hAnsi="Times New Roman"/>
          <w:b/>
          <w:color w:val="000000"/>
          <w:sz w:val="24"/>
          <w:szCs w:val="24"/>
          <w:u w:val="single"/>
        </w:rPr>
        <w:t>Замовником</w:t>
      </w:r>
      <w:proofErr w:type="spellEnd"/>
      <w:r w:rsidRPr="004C08F0">
        <w:rPr>
          <w:rFonts w:ascii="Times New Roman" w:hAnsi="Times New Roman"/>
          <w:b/>
          <w:color w:val="000000"/>
          <w:sz w:val="24"/>
          <w:szCs w:val="24"/>
          <w:u w:val="single"/>
        </w:rPr>
        <w:t xml:space="preserve"> для </w:t>
      </w:r>
      <w:proofErr w:type="spellStart"/>
      <w:r w:rsidRPr="004C08F0">
        <w:rPr>
          <w:rFonts w:ascii="Times New Roman" w:hAnsi="Times New Roman"/>
          <w:b/>
          <w:color w:val="000000"/>
          <w:sz w:val="24"/>
          <w:szCs w:val="24"/>
          <w:u w:val="single"/>
        </w:rPr>
        <w:t>завантаження</w:t>
      </w:r>
      <w:proofErr w:type="spellEnd"/>
      <w:r w:rsidRPr="004C08F0">
        <w:rPr>
          <w:rFonts w:ascii="Times New Roman" w:hAnsi="Times New Roman"/>
          <w:b/>
          <w:color w:val="000000"/>
          <w:sz w:val="24"/>
          <w:szCs w:val="24"/>
          <w:u w:val="single"/>
        </w:rPr>
        <w:t xml:space="preserve"> </w:t>
      </w:r>
      <w:proofErr w:type="spellStart"/>
      <w:r w:rsidRPr="004C08F0">
        <w:rPr>
          <w:rFonts w:ascii="Times New Roman" w:hAnsi="Times New Roman"/>
          <w:b/>
          <w:color w:val="000000"/>
          <w:sz w:val="24"/>
          <w:szCs w:val="24"/>
          <w:u w:val="single"/>
        </w:rPr>
        <w:t>учасником-переможцем</w:t>
      </w:r>
      <w:proofErr w:type="spellEnd"/>
      <w:r w:rsidRPr="004C08F0">
        <w:rPr>
          <w:rFonts w:ascii="Times New Roman" w:hAnsi="Times New Roman"/>
          <w:b/>
          <w:color w:val="000000"/>
          <w:sz w:val="24"/>
          <w:szCs w:val="24"/>
          <w:u w:val="single"/>
        </w:rPr>
        <w:t xml:space="preserve"> </w:t>
      </w:r>
      <w:proofErr w:type="spellStart"/>
      <w:r w:rsidRPr="004C08F0">
        <w:rPr>
          <w:rFonts w:ascii="Times New Roman" w:hAnsi="Times New Roman"/>
          <w:b/>
          <w:color w:val="000000"/>
          <w:sz w:val="24"/>
          <w:szCs w:val="24"/>
          <w:u w:val="single"/>
        </w:rPr>
        <w:t>відповідно</w:t>
      </w:r>
      <w:proofErr w:type="spellEnd"/>
      <w:r w:rsidRPr="004C08F0">
        <w:rPr>
          <w:rFonts w:ascii="Times New Roman" w:hAnsi="Times New Roman"/>
          <w:b/>
          <w:color w:val="000000"/>
          <w:sz w:val="24"/>
          <w:szCs w:val="24"/>
          <w:u w:val="single"/>
        </w:rPr>
        <w:t xml:space="preserve"> до </w:t>
      </w:r>
      <w:proofErr w:type="spellStart"/>
      <w:r w:rsidRPr="004C08F0">
        <w:rPr>
          <w:rFonts w:ascii="Times New Roman" w:hAnsi="Times New Roman"/>
          <w:b/>
          <w:color w:val="000000"/>
          <w:sz w:val="24"/>
          <w:szCs w:val="24"/>
          <w:u w:val="single"/>
        </w:rPr>
        <w:t>вимог</w:t>
      </w:r>
      <w:proofErr w:type="spellEnd"/>
      <w:r w:rsidRPr="004C08F0">
        <w:rPr>
          <w:rFonts w:ascii="Times New Roman" w:hAnsi="Times New Roman"/>
          <w:b/>
          <w:color w:val="000000"/>
          <w:sz w:val="24"/>
          <w:szCs w:val="24"/>
          <w:u w:val="single"/>
        </w:rPr>
        <w:t xml:space="preserve"> </w:t>
      </w:r>
      <w:proofErr w:type="spellStart"/>
      <w:r w:rsidRPr="004C08F0">
        <w:rPr>
          <w:rFonts w:ascii="Times New Roman" w:hAnsi="Times New Roman"/>
          <w:b/>
          <w:color w:val="000000"/>
          <w:sz w:val="24"/>
          <w:szCs w:val="24"/>
          <w:u w:val="single"/>
        </w:rPr>
        <w:t>статті</w:t>
      </w:r>
      <w:proofErr w:type="spellEnd"/>
      <w:r w:rsidRPr="004C08F0">
        <w:rPr>
          <w:rFonts w:ascii="Times New Roman" w:hAnsi="Times New Roman"/>
          <w:b/>
          <w:color w:val="000000"/>
          <w:sz w:val="24"/>
          <w:szCs w:val="24"/>
          <w:u w:val="single"/>
        </w:rPr>
        <w:t xml:space="preserve"> 17 Закону та </w:t>
      </w:r>
      <w:proofErr w:type="spellStart"/>
      <w:r w:rsidRPr="004C08F0">
        <w:rPr>
          <w:rFonts w:ascii="Times New Roman" w:hAnsi="Times New Roman"/>
          <w:b/>
          <w:color w:val="000000"/>
          <w:sz w:val="24"/>
          <w:szCs w:val="24"/>
          <w:u w:val="single"/>
        </w:rPr>
        <w:t>інші</w:t>
      </w:r>
      <w:proofErr w:type="spellEnd"/>
      <w:r w:rsidRPr="004C08F0">
        <w:rPr>
          <w:rFonts w:ascii="Times New Roman" w:hAnsi="Times New Roman"/>
          <w:b/>
          <w:color w:val="000000"/>
          <w:sz w:val="24"/>
          <w:szCs w:val="24"/>
          <w:u w:val="single"/>
        </w:rPr>
        <w:t xml:space="preserve"> </w:t>
      </w:r>
      <w:proofErr w:type="spellStart"/>
      <w:r w:rsidRPr="004C08F0">
        <w:rPr>
          <w:rFonts w:ascii="Times New Roman" w:hAnsi="Times New Roman"/>
          <w:b/>
          <w:color w:val="000000"/>
          <w:sz w:val="24"/>
          <w:szCs w:val="24"/>
          <w:u w:val="single"/>
        </w:rPr>
        <w:t>документи</w:t>
      </w:r>
      <w:proofErr w:type="spellEnd"/>
    </w:p>
    <w:p w:rsidR="004C08F0" w:rsidRDefault="00D70EEB" w:rsidP="00D70EEB">
      <w:pPr>
        <w:pStyle w:val="a3"/>
        <w:jc w:val="both"/>
        <w:rPr>
          <w:rFonts w:ascii="Times New Roman" w:hAnsi="Times New Roman"/>
          <w:sz w:val="24"/>
          <w:szCs w:val="24"/>
          <w:shd w:val="solid" w:color="FFFFFF" w:fill="FFFFFF"/>
          <w:lang w:val="uk-UA"/>
        </w:rPr>
      </w:pPr>
      <w:proofErr w:type="spellStart"/>
      <w:r w:rsidRPr="00D70EEB">
        <w:rPr>
          <w:rFonts w:ascii="Times New Roman" w:hAnsi="Times New Roman"/>
          <w:sz w:val="24"/>
          <w:szCs w:val="24"/>
          <w:shd w:val="solid" w:color="FFFFFF" w:fill="FFFFFF"/>
        </w:rPr>
        <w:t>Переможець</w:t>
      </w:r>
      <w:proofErr w:type="spellEnd"/>
      <w:r w:rsidRPr="00D70EEB">
        <w:rPr>
          <w:rFonts w:ascii="Times New Roman" w:hAnsi="Times New Roman"/>
          <w:sz w:val="24"/>
          <w:szCs w:val="24"/>
          <w:shd w:val="solid" w:color="FFFFFF" w:fill="FFFFFF"/>
        </w:rPr>
        <w:t xml:space="preserve"> </w:t>
      </w:r>
      <w:proofErr w:type="spellStart"/>
      <w:r w:rsidRPr="00D70EEB">
        <w:rPr>
          <w:rFonts w:ascii="Times New Roman" w:hAnsi="Times New Roman"/>
          <w:sz w:val="24"/>
          <w:szCs w:val="24"/>
          <w:shd w:val="solid" w:color="FFFFFF" w:fill="FFFFFF"/>
        </w:rPr>
        <w:t>процедури</w:t>
      </w:r>
      <w:proofErr w:type="spellEnd"/>
      <w:r w:rsidRPr="00D70EEB">
        <w:rPr>
          <w:rFonts w:ascii="Times New Roman" w:hAnsi="Times New Roman"/>
          <w:sz w:val="24"/>
          <w:szCs w:val="24"/>
          <w:shd w:val="solid" w:color="FFFFFF" w:fill="FFFFFF"/>
        </w:rPr>
        <w:t xml:space="preserve"> </w:t>
      </w:r>
      <w:proofErr w:type="spellStart"/>
      <w:r w:rsidRPr="00D70EEB">
        <w:rPr>
          <w:rFonts w:ascii="Times New Roman" w:hAnsi="Times New Roman"/>
          <w:sz w:val="24"/>
          <w:szCs w:val="24"/>
          <w:shd w:val="solid" w:color="FFFFFF" w:fill="FFFFFF"/>
        </w:rPr>
        <w:t>закупівлі</w:t>
      </w:r>
      <w:proofErr w:type="spellEnd"/>
      <w:r w:rsidRPr="00D70EEB">
        <w:rPr>
          <w:rFonts w:ascii="Times New Roman" w:hAnsi="Times New Roman"/>
          <w:sz w:val="24"/>
          <w:szCs w:val="24"/>
          <w:shd w:val="solid" w:color="FFFFFF" w:fill="FFFFFF"/>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D70EEB" w:rsidRDefault="00D70EEB" w:rsidP="00D70EEB">
      <w:pPr>
        <w:pStyle w:val="a3"/>
        <w:jc w:val="both"/>
        <w:rPr>
          <w:rFonts w:ascii="Times New Roman" w:hAnsi="Times New Roman"/>
          <w:i/>
          <w:sz w:val="24"/>
          <w:szCs w:val="24"/>
          <w:shd w:val="solid" w:color="FFFFFF" w:fill="FFFFFF"/>
          <w:lang w:val="uk-UA"/>
        </w:rPr>
      </w:pPr>
      <w:r w:rsidRPr="004C08F0">
        <w:rPr>
          <w:rFonts w:ascii="Times New Roman" w:hAnsi="Times New Roman"/>
          <w:i/>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70626" w:rsidRPr="00870626" w:rsidRDefault="00870626" w:rsidP="00870626">
      <w:pPr>
        <w:pStyle w:val="a3"/>
        <w:jc w:val="both"/>
        <w:rPr>
          <w:rFonts w:ascii="Times New Roman" w:hAnsi="Times New Roman"/>
          <w:color w:val="000000"/>
          <w:lang w:val="uk-UA"/>
        </w:rPr>
      </w:pPr>
      <w:r w:rsidRPr="00870626">
        <w:rPr>
          <w:rFonts w:ascii="Times New Roman" w:hAnsi="Times New Roman"/>
          <w:color w:val="000000"/>
          <w:lang w:val="uk-UA"/>
        </w:rPr>
        <w:t xml:space="preserve">Постановою Кабінету Міністрів України від 12.03.2022 року № 263 «Деякі питання забезпечення функціонування </w:t>
      </w:r>
      <w:proofErr w:type="spellStart"/>
      <w:r w:rsidRPr="00870626">
        <w:rPr>
          <w:rFonts w:ascii="Times New Roman" w:hAnsi="Times New Roman"/>
          <w:color w:val="000000"/>
          <w:lang w:val="uk-UA"/>
        </w:rPr>
        <w:t>інформаційно</w:t>
      </w:r>
      <w:proofErr w:type="spellEnd"/>
      <w:r w:rsidRPr="00870626">
        <w:rPr>
          <w:rFonts w:ascii="Times New Roman" w:hAnsi="Times New Roman"/>
          <w:color w:val="000000"/>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року № 64/2022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70626" w:rsidRPr="00870626" w:rsidRDefault="00870626" w:rsidP="00870626">
      <w:pPr>
        <w:pStyle w:val="10"/>
        <w:jc w:val="both"/>
        <w:rPr>
          <w:color w:val="000000"/>
          <w:sz w:val="22"/>
          <w:szCs w:val="22"/>
          <w:lang w:val="uk-UA"/>
        </w:rPr>
      </w:pPr>
      <w:r w:rsidRPr="00870626">
        <w:rPr>
          <w:color w:val="000000"/>
          <w:sz w:val="22"/>
          <w:szCs w:val="22"/>
          <w:lang w:val="uk-UA"/>
        </w:rPr>
        <w:t xml:space="preserve">Водночас у повідомленні, розміщеному на веб-сайті Національного агентства з питань запобігання корупції від 24.02.2022 року за посиланням: </w:t>
      </w:r>
      <w:hyperlink r:id="rId5" w:history="1">
        <w:r w:rsidRPr="00870626">
          <w:rPr>
            <w:rStyle w:val="ab"/>
            <w:sz w:val="22"/>
            <w:szCs w:val="22"/>
            <w:lang w:val="uk-UA"/>
          </w:rPr>
          <w:t>https://nazk.gov.ua/uk/</w:t>
        </w:r>
      </w:hyperlink>
      <w:r w:rsidRPr="00870626">
        <w:rPr>
          <w:color w:val="000000"/>
          <w:sz w:val="22"/>
          <w:szCs w:val="22"/>
          <w:lang w:val="uk-UA"/>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870626" w:rsidRPr="00870626" w:rsidRDefault="00870626" w:rsidP="00870626">
      <w:pPr>
        <w:pStyle w:val="a3"/>
        <w:jc w:val="both"/>
        <w:rPr>
          <w:rFonts w:ascii="Times New Roman" w:hAnsi="Times New Roman"/>
          <w:i/>
          <w:shd w:val="solid" w:color="FFFFFF" w:fill="FFFFFF"/>
          <w:lang w:val="uk-UA"/>
        </w:rPr>
      </w:pPr>
      <w:r w:rsidRPr="00870626">
        <w:rPr>
          <w:rFonts w:ascii="Times New Roman" w:hAnsi="Times New Roman"/>
          <w:color w:val="000000"/>
          <w:lang w:val="uk-UA"/>
        </w:rPr>
        <w:t>З огляду на зазначене, в умовах воєнного стану відсутній вільний доступ до публічної інформації, що міститься у вказаних вище відкритих єдиних державних реєстрах, доступ є обмеженим або зупиненим.</w:t>
      </w:r>
      <w:r w:rsidR="0043059C">
        <w:rPr>
          <w:rFonts w:ascii="Times New Roman" w:hAnsi="Times New Roman"/>
          <w:color w:val="000000"/>
          <w:lang w:val="uk-UA"/>
        </w:rPr>
        <w:t xml:space="preserve"> </w:t>
      </w:r>
      <w:r w:rsidRPr="00870626">
        <w:rPr>
          <w:rFonts w:ascii="Times New Roman" w:hAnsi="Times New Roman"/>
          <w:u w:val="single"/>
          <w:lang w:val="uk-UA"/>
        </w:rPr>
        <w:t xml:space="preserve">Якщо у суб’єкта господарювання, що подав свою тендерну пропозицію для участі в торгах кінцевим </w:t>
      </w:r>
      <w:proofErr w:type="spellStart"/>
      <w:r w:rsidRPr="00870626">
        <w:rPr>
          <w:rFonts w:ascii="Times New Roman" w:hAnsi="Times New Roman"/>
          <w:u w:val="single"/>
          <w:lang w:val="uk-UA"/>
        </w:rPr>
        <w:t>бенефіціарним</w:t>
      </w:r>
      <w:proofErr w:type="spellEnd"/>
      <w:r w:rsidRPr="00870626">
        <w:rPr>
          <w:rFonts w:ascii="Times New Roman" w:hAnsi="Times New Roman"/>
          <w:u w:val="single"/>
          <w:lang w:val="uk-UA"/>
        </w:rPr>
        <w:t xml:space="preserve"> власником, чл</w:t>
      </w:r>
      <w:r w:rsidRPr="00870626">
        <w:rPr>
          <w:rFonts w:ascii="Times New Roman" w:hAnsi="Times New Roman"/>
          <w:u w:val="single"/>
          <w:shd w:val="clear" w:color="auto" w:fill="FFFFFF"/>
          <w:lang w:val="uk-UA"/>
        </w:rPr>
        <w:t>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D70EEB" w:rsidRPr="002029FF" w:rsidRDefault="004C08F0" w:rsidP="00D70EEB">
      <w:pPr>
        <w:pStyle w:val="a3"/>
        <w:jc w:val="both"/>
        <w:rPr>
          <w:rFonts w:ascii="Times New Roman" w:hAnsi="Times New Roman"/>
          <w:sz w:val="24"/>
          <w:szCs w:val="24"/>
          <w:shd w:val="solid" w:color="FFFFFF" w:fill="FFFFFF"/>
          <w:lang w:val="uk-UA"/>
        </w:rPr>
      </w:pPr>
      <w:r w:rsidRPr="002029FF">
        <w:rPr>
          <w:rFonts w:ascii="Times New Roman" w:hAnsi="Times New Roman"/>
          <w:color w:val="000000"/>
          <w:sz w:val="24"/>
          <w:szCs w:val="24"/>
          <w:lang w:val="uk-UA"/>
        </w:rPr>
        <w:t>У зв’язку з тим,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доступ до відомостей, що містяться в таких системах було тимчасово зупинено або обмежено, слід</w:t>
      </w:r>
      <w:r w:rsidRPr="002029FF">
        <w:rPr>
          <w:rFonts w:ascii="Times New Roman" w:hAnsi="Times New Roman"/>
          <w:sz w:val="24"/>
          <w:szCs w:val="24"/>
          <w:lang w:val="uk-UA"/>
        </w:rPr>
        <w:t xml:space="preserve"> надати замовнику наступні документи  шляхом оприлюднення їх в електронній системі закупівель (для переможця </w:t>
      </w:r>
      <w:r w:rsidRPr="002029FF">
        <w:rPr>
          <w:rFonts w:ascii="Times New Roman" w:hAnsi="Times New Roman"/>
          <w:sz w:val="24"/>
          <w:szCs w:val="24"/>
          <w:lang w:val="uk-UA" w:eastAsia="uk-UA"/>
        </w:rPr>
        <w:t>нерезидента – з урахуванням вимог п. 10 розділу І тендерної документації)</w:t>
      </w:r>
      <w:r w:rsidRPr="002029FF">
        <w:rPr>
          <w:rFonts w:ascii="Times New Roman" w:hAnsi="Times New Roman"/>
          <w:sz w:val="24"/>
          <w:szCs w:val="24"/>
          <w:lang w:val="uk-UA"/>
        </w:rPr>
        <w:t>, а саме:</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5387"/>
      </w:tblGrid>
      <w:tr w:rsidR="002029FF" w:rsidRPr="0043059C" w:rsidTr="0043059C">
        <w:trPr>
          <w:trHeight w:val="270"/>
        </w:trPr>
        <w:tc>
          <w:tcPr>
            <w:tcW w:w="3969" w:type="dxa"/>
            <w:shd w:val="clear" w:color="auto" w:fill="auto"/>
          </w:tcPr>
          <w:p w:rsidR="002029FF" w:rsidRPr="0043059C" w:rsidRDefault="002029FF" w:rsidP="001A1BA3">
            <w:pPr>
              <w:pStyle w:val="10"/>
              <w:jc w:val="both"/>
              <w:rPr>
                <w:lang w:val="uk-UA"/>
              </w:rPr>
            </w:pPr>
            <w:r w:rsidRPr="0043059C">
              <w:rPr>
                <w:lang w:val="uk-UA"/>
              </w:rPr>
              <w:t>Підстава для відхилення</w:t>
            </w:r>
          </w:p>
        </w:tc>
        <w:tc>
          <w:tcPr>
            <w:tcW w:w="5387" w:type="dxa"/>
            <w:shd w:val="clear" w:color="auto" w:fill="auto"/>
          </w:tcPr>
          <w:p w:rsidR="002029FF" w:rsidRPr="0043059C" w:rsidRDefault="002029FF" w:rsidP="001A1BA3">
            <w:pPr>
              <w:pStyle w:val="10"/>
              <w:jc w:val="both"/>
              <w:rPr>
                <w:lang w:val="uk-UA"/>
              </w:rPr>
            </w:pPr>
            <w:r w:rsidRPr="0043059C">
              <w:rPr>
                <w:lang w:val="uk-UA"/>
              </w:rPr>
              <w:t xml:space="preserve">Спосіб підтвердження  </w:t>
            </w:r>
          </w:p>
        </w:tc>
      </w:tr>
      <w:tr w:rsidR="002029FF" w:rsidRPr="0043059C" w:rsidTr="0043059C">
        <w:trPr>
          <w:trHeight w:val="291"/>
        </w:trPr>
        <w:tc>
          <w:tcPr>
            <w:tcW w:w="9356" w:type="dxa"/>
            <w:gridSpan w:val="2"/>
            <w:shd w:val="clear" w:color="auto" w:fill="auto"/>
          </w:tcPr>
          <w:p w:rsidR="002029FF" w:rsidRPr="0043059C" w:rsidRDefault="002029FF" w:rsidP="001A1BA3">
            <w:pPr>
              <w:pStyle w:val="10"/>
              <w:jc w:val="both"/>
              <w:rPr>
                <w:lang w:val="uk-UA"/>
              </w:rPr>
            </w:pPr>
            <w:r w:rsidRPr="0043059C">
              <w:rPr>
                <w:lang w:val="uk-UA"/>
              </w:rPr>
              <w:t>Частина перша статті 17</w:t>
            </w:r>
          </w:p>
        </w:tc>
      </w:tr>
      <w:tr w:rsidR="002029FF" w:rsidRPr="0043059C" w:rsidTr="0043059C">
        <w:tc>
          <w:tcPr>
            <w:tcW w:w="3969" w:type="dxa"/>
            <w:shd w:val="clear" w:color="auto" w:fill="auto"/>
          </w:tcPr>
          <w:p w:rsidR="002029FF" w:rsidRPr="0043059C" w:rsidRDefault="002029FF" w:rsidP="001A1BA3">
            <w:pPr>
              <w:pStyle w:val="10"/>
              <w:jc w:val="both"/>
              <w:rPr>
                <w:lang w:val="uk-UA"/>
              </w:rPr>
            </w:pPr>
            <w:r w:rsidRPr="0043059C">
              <w:rPr>
                <w:lang w:val="uk-UA"/>
              </w:rPr>
              <w:t xml:space="preserve">3) службову (посадову) особу </w:t>
            </w:r>
            <w:r w:rsidRPr="0043059C">
              <w:rPr>
                <w:lang w:val="uk-UA"/>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87" w:type="dxa"/>
            <w:shd w:val="clear" w:color="auto" w:fill="auto"/>
          </w:tcPr>
          <w:p w:rsidR="002029FF" w:rsidRPr="0043059C" w:rsidRDefault="002029FF" w:rsidP="001A1BA3">
            <w:pPr>
              <w:pStyle w:val="10"/>
              <w:jc w:val="both"/>
              <w:rPr>
                <w:iCs/>
                <w:lang w:val="uk-UA"/>
              </w:rPr>
            </w:pPr>
            <w:r w:rsidRPr="0043059C">
              <w:rPr>
                <w:lang w:val="uk-UA"/>
              </w:rPr>
              <w:lastRenderedPageBreak/>
              <w:t xml:space="preserve">Інформаційна довідка або витяг з </w:t>
            </w:r>
            <w:r w:rsidRPr="0043059C">
              <w:rPr>
                <w:lang w:val="uk-UA" w:eastAsia="ar-SA"/>
              </w:rPr>
              <w:t xml:space="preserve">Єдиного </w:t>
            </w:r>
            <w:r w:rsidRPr="0043059C">
              <w:rPr>
                <w:lang w:val="uk-UA" w:eastAsia="ar-SA"/>
              </w:rPr>
              <w:lastRenderedPageBreak/>
              <w:t xml:space="preserve">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6" w:history="1">
              <w:r w:rsidRPr="0043059C">
                <w:rPr>
                  <w:rStyle w:val="ab"/>
                  <w:lang w:val="uk-UA" w:eastAsia="uk-UA"/>
                </w:rPr>
                <w:t>https://corruptinfo.nazk.gov.ua/reference/getpersonalreference/individual</w:t>
              </w:r>
            </w:hyperlink>
            <w:r w:rsidRPr="0043059C">
              <w:rPr>
                <w:lang w:val="uk-UA"/>
              </w:rPr>
              <w:t xml:space="preserve">,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sidRPr="0043059C">
              <w:rPr>
                <w:iCs/>
                <w:lang w:val="uk-UA"/>
              </w:rPr>
              <w:t xml:space="preserve">Документ повинен бути не більше місячної давнини відносно дати оприлюдненого на </w:t>
            </w:r>
            <w:proofErr w:type="spellStart"/>
            <w:r w:rsidRPr="0043059C">
              <w:rPr>
                <w:iCs/>
                <w:lang w:val="uk-UA"/>
              </w:rPr>
              <w:t>веб-порталі</w:t>
            </w:r>
            <w:proofErr w:type="spellEnd"/>
            <w:r w:rsidRPr="0043059C">
              <w:rPr>
                <w:iCs/>
                <w:lang w:val="uk-UA"/>
              </w:rPr>
              <w:t xml:space="preserve"> наміру про укладання договору. </w:t>
            </w:r>
            <w:r w:rsidRPr="0043059C">
              <w:rPr>
                <w:lang w:val="uk-UA"/>
              </w:rPr>
              <w:t xml:space="preserve">Документ надається в період відсутності функціональної можливості перевірки інформації на </w:t>
            </w:r>
            <w:proofErr w:type="spellStart"/>
            <w:r w:rsidRPr="0043059C">
              <w:rPr>
                <w:lang w:val="uk-UA"/>
              </w:rPr>
              <w:t>веб-ресурсі</w:t>
            </w:r>
            <w:proofErr w:type="spellEnd"/>
            <w:r w:rsidRPr="0043059C">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029FF" w:rsidRPr="0043059C" w:rsidTr="0043059C">
        <w:tc>
          <w:tcPr>
            <w:tcW w:w="3969" w:type="dxa"/>
            <w:shd w:val="clear" w:color="auto" w:fill="auto"/>
          </w:tcPr>
          <w:p w:rsidR="002029FF" w:rsidRPr="0043059C" w:rsidRDefault="002029FF" w:rsidP="001A1BA3">
            <w:pPr>
              <w:pStyle w:val="10"/>
              <w:jc w:val="both"/>
              <w:rPr>
                <w:lang w:val="uk-UA"/>
              </w:rPr>
            </w:pPr>
            <w:r w:rsidRPr="0043059C">
              <w:rPr>
                <w:lang w:val="uk-UA"/>
              </w:rPr>
              <w:lastRenderedPageBreak/>
              <w:t xml:space="preserve">5) </w:t>
            </w:r>
            <w:r w:rsidRPr="0043059C">
              <w:rPr>
                <w:rStyle w:val="rvts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387" w:type="dxa"/>
            <w:shd w:val="clear" w:color="auto" w:fill="auto"/>
          </w:tcPr>
          <w:p w:rsidR="002029FF" w:rsidRPr="0043059C" w:rsidRDefault="002029FF" w:rsidP="001A1BA3">
            <w:pPr>
              <w:pStyle w:val="10"/>
              <w:jc w:val="both"/>
              <w:rPr>
                <w:shd w:val="clear" w:color="auto" w:fill="FFFFFF"/>
                <w:lang w:val="uk-UA"/>
              </w:rPr>
            </w:pPr>
            <w:r w:rsidRPr="0043059C">
              <w:rPr>
                <w:shd w:val="clear" w:color="auto" w:fill="FFFFFF"/>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переможцем процедури закупівлі.</w:t>
            </w:r>
          </w:p>
          <w:p w:rsidR="002029FF" w:rsidRPr="0043059C" w:rsidRDefault="002029FF" w:rsidP="001A1BA3">
            <w:pPr>
              <w:pStyle w:val="10"/>
              <w:jc w:val="both"/>
              <w:rPr>
                <w:shd w:val="clear" w:color="auto" w:fill="FFFFFF"/>
                <w:lang w:val="uk-UA"/>
              </w:rPr>
            </w:pPr>
            <w:r w:rsidRPr="0043059C">
              <w:rPr>
                <w:shd w:val="clear" w:color="auto" w:fill="FFFFFF"/>
                <w:lang w:val="uk-UA"/>
              </w:rPr>
              <w:t xml:space="preserve">Переможець отримує витяг за посиланням: </w:t>
            </w:r>
          </w:p>
          <w:p w:rsidR="002029FF" w:rsidRPr="0043059C" w:rsidRDefault="002029FF" w:rsidP="001A1BA3">
            <w:pPr>
              <w:pStyle w:val="10"/>
              <w:jc w:val="both"/>
              <w:rPr>
                <w:iCs/>
                <w:lang w:val="uk-UA"/>
              </w:rPr>
            </w:pPr>
            <w:r w:rsidRPr="0043059C">
              <w:rPr>
                <w:color w:val="0070C0"/>
                <w:u w:val="single"/>
                <w:lang w:val="uk-UA" w:eastAsia="ar-SA"/>
              </w:rPr>
              <w:t>https://vytiah.mvs.gov.ua/app/landing</w:t>
            </w:r>
            <w:r w:rsidRPr="0043059C">
              <w:rPr>
                <w:lang w:val="uk-UA" w:eastAsia="ar-SA"/>
              </w:rPr>
              <w:t>.</w:t>
            </w:r>
            <w:r w:rsidRPr="0043059C">
              <w:rPr>
                <w:iCs/>
                <w:lang w:val="uk-UA"/>
              </w:rPr>
              <w:t xml:space="preserve">Документ повинен бути не більше місячної давнини відносно дати оприлюдненого на </w:t>
            </w:r>
            <w:proofErr w:type="spellStart"/>
            <w:r w:rsidRPr="0043059C">
              <w:rPr>
                <w:iCs/>
                <w:lang w:val="uk-UA"/>
              </w:rPr>
              <w:t>веб-порталі</w:t>
            </w:r>
            <w:proofErr w:type="spellEnd"/>
            <w:r w:rsidRPr="0043059C">
              <w:rPr>
                <w:iCs/>
                <w:lang w:val="uk-UA"/>
              </w:rPr>
              <w:t xml:space="preserve"> наміру про укладання договору.</w:t>
            </w:r>
          </w:p>
        </w:tc>
      </w:tr>
      <w:tr w:rsidR="002029FF" w:rsidRPr="0043059C" w:rsidTr="0043059C">
        <w:tc>
          <w:tcPr>
            <w:tcW w:w="3969" w:type="dxa"/>
            <w:shd w:val="clear" w:color="auto" w:fill="auto"/>
          </w:tcPr>
          <w:p w:rsidR="002029FF" w:rsidRPr="0043059C" w:rsidRDefault="002029FF" w:rsidP="001A1BA3">
            <w:pPr>
              <w:pStyle w:val="10"/>
              <w:jc w:val="both"/>
              <w:rPr>
                <w:lang w:val="uk-UA"/>
              </w:rPr>
            </w:pPr>
            <w:r w:rsidRPr="0043059C">
              <w:rPr>
                <w:lang w:val="uk-UA"/>
              </w:rPr>
              <w:t xml:space="preserve">6) </w:t>
            </w:r>
            <w:r w:rsidRPr="0043059C">
              <w:rPr>
                <w:rStyle w:val="rvts0"/>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387" w:type="dxa"/>
            <w:shd w:val="clear" w:color="auto" w:fill="auto"/>
          </w:tcPr>
          <w:p w:rsidR="002029FF" w:rsidRPr="0043059C" w:rsidRDefault="002029FF" w:rsidP="001A1BA3">
            <w:pPr>
              <w:pStyle w:val="10"/>
              <w:jc w:val="both"/>
              <w:rPr>
                <w:color w:val="000000"/>
                <w:shd w:val="clear" w:color="auto" w:fill="FFFFFF"/>
                <w:lang w:val="uk-UA"/>
              </w:rPr>
            </w:pPr>
            <w:r w:rsidRPr="0043059C">
              <w:rPr>
                <w:color w:val="000000"/>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процедури закупівлі, яка підписала тендерну пропозицію (або уповноважена на підписання договору в разі переговорної процедури закупівлі). Переможець отримує витяг за посиланням: </w:t>
            </w:r>
          </w:p>
          <w:p w:rsidR="002029FF" w:rsidRPr="0043059C" w:rsidRDefault="002029FF" w:rsidP="001A1BA3">
            <w:pPr>
              <w:pStyle w:val="10"/>
              <w:jc w:val="both"/>
              <w:rPr>
                <w:iCs/>
                <w:lang w:val="uk-UA"/>
              </w:rPr>
            </w:pPr>
            <w:r w:rsidRPr="0043059C">
              <w:rPr>
                <w:color w:val="0070C0"/>
                <w:u w:val="single"/>
                <w:lang w:val="uk-UA" w:eastAsia="ar-SA"/>
              </w:rPr>
              <w:t>https://vytiah.mvs.gov.ua/app/landing</w:t>
            </w:r>
            <w:r w:rsidRPr="0043059C">
              <w:rPr>
                <w:lang w:val="uk-UA" w:eastAsia="ar-SA"/>
              </w:rPr>
              <w:t>.</w:t>
            </w:r>
            <w:r w:rsidRPr="0043059C">
              <w:rPr>
                <w:iCs/>
                <w:lang w:val="uk-UA"/>
              </w:rPr>
              <w:t xml:space="preserve"> Надається на: </w:t>
            </w:r>
          </w:p>
          <w:p w:rsidR="002029FF" w:rsidRPr="0043059C" w:rsidRDefault="002029FF" w:rsidP="001A1BA3">
            <w:pPr>
              <w:pStyle w:val="10"/>
              <w:jc w:val="both"/>
              <w:rPr>
                <w:iCs/>
                <w:lang w:val="uk-UA"/>
              </w:rPr>
            </w:pPr>
            <w:r w:rsidRPr="0043059C">
              <w:rPr>
                <w:iCs/>
                <w:lang w:val="uk-UA"/>
              </w:rPr>
              <w:t xml:space="preserve">- особу уповноважену на підписання документів тендерної пропозиції; </w:t>
            </w:r>
          </w:p>
          <w:p w:rsidR="002029FF" w:rsidRPr="0043059C" w:rsidRDefault="002029FF" w:rsidP="001A1BA3">
            <w:pPr>
              <w:pStyle w:val="10"/>
              <w:jc w:val="both"/>
              <w:rPr>
                <w:iCs/>
                <w:lang w:val="uk-UA"/>
              </w:rPr>
            </w:pPr>
            <w:r w:rsidRPr="0043059C">
              <w:rPr>
                <w:iCs/>
                <w:lang w:val="uk-UA"/>
              </w:rPr>
              <w:t>- особу уповноважену на підписання договору про закупівлі.</w:t>
            </w:r>
          </w:p>
          <w:p w:rsidR="002029FF" w:rsidRPr="0043059C" w:rsidRDefault="002029FF" w:rsidP="001A1BA3">
            <w:pPr>
              <w:pStyle w:val="10"/>
              <w:jc w:val="both"/>
              <w:rPr>
                <w:iCs/>
                <w:lang w:val="uk-UA"/>
              </w:rPr>
            </w:pPr>
            <w:r w:rsidRPr="0043059C">
              <w:rPr>
                <w:iCs/>
                <w:lang w:val="uk-UA"/>
              </w:rPr>
              <w:t xml:space="preserve">Документ повинен бути не більше місячної давнини відносно дати оприлюдненого на </w:t>
            </w:r>
            <w:proofErr w:type="spellStart"/>
            <w:r w:rsidRPr="0043059C">
              <w:rPr>
                <w:iCs/>
                <w:lang w:val="uk-UA"/>
              </w:rPr>
              <w:t>веб-порталі</w:t>
            </w:r>
            <w:proofErr w:type="spellEnd"/>
            <w:r w:rsidRPr="0043059C">
              <w:rPr>
                <w:iCs/>
                <w:lang w:val="uk-UA"/>
              </w:rPr>
              <w:t xml:space="preserve"> наміру про укладання договору.</w:t>
            </w:r>
          </w:p>
          <w:p w:rsidR="002029FF" w:rsidRPr="0043059C" w:rsidRDefault="002029FF" w:rsidP="001A1BA3">
            <w:pPr>
              <w:pStyle w:val="10"/>
              <w:jc w:val="both"/>
              <w:rPr>
                <w:rFonts w:eastAsia="Arial"/>
                <w:shd w:val="clear" w:color="auto" w:fill="FFFFFF"/>
                <w:lang w:val="uk-UA" w:bidi="uk-UA"/>
              </w:rPr>
            </w:pPr>
            <w:r w:rsidRPr="0043059C">
              <w:rPr>
                <w:color w:val="000000"/>
                <w:lang w:val="uk-UA"/>
              </w:rPr>
              <w:t>Додатково Замовник може перевірити документ на офіційному сайті МВС за посиланням https://vytiah.mvs.gov.ua/app/checkStatus</w:t>
            </w:r>
          </w:p>
        </w:tc>
      </w:tr>
      <w:tr w:rsidR="002029FF" w:rsidRPr="0043059C" w:rsidTr="0043059C">
        <w:tc>
          <w:tcPr>
            <w:tcW w:w="3969" w:type="dxa"/>
            <w:shd w:val="clear" w:color="auto" w:fill="auto"/>
          </w:tcPr>
          <w:p w:rsidR="002029FF" w:rsidRPr="0043059C" w:rsidRDefault="002029FF" w:rsidP="001A1BA3">
            <w:pPr>
              <w:pStyle w:val="10"/>
              <w:jc w:val="both"/>
              <w:rPr>
                <w:lang w:val="uk-UA"/>
              </w:rPr>
            </w:pPr>
            <w:r w:rsidRPr="0043059C">
              <w:rPr>
                <w:lang w:val="uk-UA"/>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7" w:type="dxa"/>
            <w:shd w:val="clear" w:color="auto" w:fill="auto"/>
          </w:tcPr>
          <w:p w:rsidR="00870626" w:rsidRPr="0043059C" w:rsidRDefault="00870626" w:rsidP="001A1BA3">
            <w:pPr>
              <w:pStyle w:val="10"/>
              <w:jc w:val="both"/>
              <w:rPr>
                <w:color w:val="000000"/>
                <w:lang w:val="uk-UA"/>
              </w:rPr>
            </w:pPr>
            <w:r w:rsidRPr="0043059C">
              <w:rPr>
                <w:color w:val="000000"/>
                <w:lang w:val="uk-UA"/>
              </w:rPr>
              <w:t xml:space="preserve">Інформація в довільній формі про те, що </w:t>
            </w:r>
            <w:r w:rsidRPr="0043059C">
              <w:rPr>
                <w:color w:val="000000"/>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3059C">
              <w:rPr>
                <w:color w:val="000000"/>
                <w:lang w:val="uk-UA"/>
              </w:rPr>
              <w:t>.</w:t>
            </w:r>
          </w:p>
          <w:p w:rsidR="002029FF" w:rsidRPr="0043059C" w:rsidRDefault="002029FF" w:rsidP="001A1BA3">
            <w:pPr>
              <w:pStyle w:val="10"/>
              <w:jc w:val="both"/>
              <w:rPr>
                <w:color w:val="000000"/>
                <w:shd w:val="clear" w:color="auto" w:fill="FFFFFF"/>
                <w:lang w:val="uk-UA"/>
              </w:rPr>
            </w:pPr>
            <w:r w:rsidRPr="0043059C">
              <w:rPr>
                <w:color w:val="000000"/>
                <w:shd w:val="clear" w:color="auto" w:fill="FFFFFF"/>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процедури закупівлі, яка підписала тендерну пропозицію (або уповноважена на підписання договору в разі переговорної процедури закупівлі).</w:t>
            </w:r>
          </w:p>
          <w:p w:rsidR="002029FF" w:rsidRPr="0043059C" w:rsidRDefault="002029FF" w:rsidP="001A1BA3">
            <w:pPr>
              <w:pStyle w:val="10"/>
              <w:jc w:val="both"/>
              <w:rPr>
                <w:color w:val="000000"/>
                <w:shd w:val="clear" w:color="auto" w:fill="FFFFFF"/>
                <w:lang w:val="uk-UA"/>
              </w:rPr>
            </w:pPr>
            <w:r w:rsidRPr="0043059C">
              <w:rPr>
                <w:color w:val="000000"/>
                <w:shd w:val="clear" w:color="auto" w:fill="FFFFFF"/>
                <w:lang w:val="uk-UA"/>
              </w:rPr>
              <w:t xml:space="preserve">Переможець отримує витяг за посиланням: </w:t>
            </w:r>
          </w:p>
          <w:p w:rsidR="002029FF" w:rsidRPr="0043059C" w:rsidRDefault="002029FF" w:rsidP="001A1BA3">
            <w:pPr>
              <w:pStyle w:val="10"/>
              <w:jc w:val="both"/>
              <w:rPr>
                <w:iCs/>
                <w:lang w:val="uk-UA"/>
              </w:rPr>
            </w:pPr>
            <w:r w:rsidRPr="0043059C">
              <w:rPr>
                <w:color w:val="0070C0"/>
                <w:u w:val="single"/>
                <w:lang w:val="uk-UA" w:eastAsia="ar-SA"/>
              </w:rPr>
              <w:t>https://vytiah.mvs.gov.ua/app/landing</w:t>
            </w:r>
            <w:r w:rsidRPr="0043059C">
              <w:rPr>
                <w:lang w:val="uk-UA" w:eastAsia="ar-SA"/>
              </w:rPr>
              <w:t>.</w:t>
            </w:r>
            <w:r w:rsidRPr="0043059C">
              <w:rPr>
                <w:iCs/>
                <w:lang w:val="uk-UA"/>
              </w:rPr>
              <w:t xml:space="preserve"> Надається на: </w:t>
            </w:r>
          </w:p>
          <w:p w:rsidR="002029FF" w:rsidRPr="0043059C" w:rsidRDefault="002029FF" w:rsidP="001A1BA3">
            <w:pPr>
              <w:pStyle w:val="10"/>
              <w:jc w:val="both"/>
              <w:rPr>
                <w:iCs/>
                <w:lang w:val="uk-UA"/>
              </w:rPr>
            </w:pPr>
            <w:r w:rsidRPr="0043059C">
              <w:rPr>
                <w:iCs/>
                <w:lang w:val="uk-UA"/>
              </w:rPr>
              <w:t xml:space="preserve">- особу уповноважену на підписання документів тендерної пропозиції; </w:t>
            </w:r>
          </w:p>
          <w:p w:rsidR="002029FF" w:rsidRPr="0043059C" w:rsidRDefault="002029FF" w:rsidP="001A1BA3">
            <w:pPr>
              <w:pStyle w:val="10"/>
              <w:jc w:val="both"/>
              <w:rPr>
                <w:iCs/>
                <w:lang w:val="uk-UA"/>
              </w:rPr>
            </w:pPr>
            <w:r w:rsidRPr="0043059C">
              <w:rPr>
                <w:iCs/>
                <w:lang w:val="uk-UA"/>
              </w:rPr>
              <w:t>- особу уповноважену на підписання договору про закупівлі.</w:t>
            </w:r>
          </w:p>
          <w:p w:rsidR="002029FF" w:rsidRPr="0043059C" w:rsidRDefault="002029FF" w:rsidP="001A1BA3">
            <w:pPr>
              <w:pStyle w:val="10"/>
              <w:jc w:val="both"/>
              <w:rPr>
                <w:iCs/>
                <w:lang w:val="uk-UA"/>
              </w:rPr>
            </w:pPr>
            <w:r w:rsidRPr="0043059C">
              <w:rPr>
                <w:iCs/>
                <w:lang w:val="uk-UA"/>
              </w:rPr>
              <w:t xml:space="preserve">Документ повинен бути не більше місячної давнини відносно дати оприлюдненого на </w:t>
            </w:r>
            <w:proofErr w:type="spellStart"/>
            <w:r w:rsidRPr="0043059C">
              <w:rPr>
                <w:iCs/>
                <w:lang w:val="uk-UA"/>
              </w:rPr>
              <w:t>веб-порталі</w:t>
            </w:r>
            <w:proofErr w:type="spellEnd"/>
            <w:r w:rsidRPr="0043059C">
              <w:rPr>
                <w:iCs/>
                <w:lang w:val="uk-UA"/>
              </w:rPr>
              <w:t xml:space="preserve"> наміру про укладання договору.</w:t>
            </w:r>
          </w:p>
          <w:p w:rsidR="002029FF" w:rsidRPr="0043059C" w:rsidRDefault="002029FF" w:rsidP="001A1BA3">
            <w:pPr>
              <w:pStyle w:val="10"/>
              <w:jc w:val="both"/>
              <w:rPr>
                <w:lang w:val="uk-UA"/>
              </w:rPr>
            </w:pPr>
            <w:r w:rsidRPr="0043059C">
              <w:rPr>
                <w:color w:val="000000"/>
                <w:lang w:val="uk-UA"/>
              </w:rPr>
              <w:t>Додатково Замовник може перевірити документ на офіційному сайті МВС за посиланням https://vytiah.mvs.gov.ua/app/checkStatus</w:t>
            </w:r>
          </w:p>
        </w:tc>
      </w:tr>
      <w:tr w:rsidR="002029FF" w:rsidRPr="0043059C" w:rsidTr="0043059C">
        <w:tc>
          <w:tcPr>
            <w:tcW w:w="9356" w:type="dxa"/>
            <w:gridSpan w:val="2"/>
            <w:shd w:val="clear" w:color="auto" w:fill="auto"/>
          </w:tcPr>
          <w:p w:rsidR="002029FF" w:rsidRPr="0043059C" w:rsidRDefault="002029FF" w:rsidP="001A1BA3">
            <w:pPr>
              <w:pStyle w:val="10"/>
              <w:jc w:val="both"/>
              <w:rPr>
                <w:color w:val="000000"/>
                <w:shd w:val="clear" w:color="auto" w:fill="FFFFFF"/>
                <w:lang w:val="uk-UA"/>
              </w:rPr>
            </w:pPr>
            <w:r w:rsidRPr="0043059C">
              <w:rPr>
                <w:lang w:val="uk-UA"/>
              </w:rPr>
              <w:t>Частина друга статті 17</w:t>
            </w:r>
          </w:p>
        </w:tc>
      </w:tr>
      <w:tr w:rsidR="002029FF" w:rsidRPr="0043059C" w:rsidTr="0043059C">
        <w:tc>
          <w:tcPr>
            <w:tcW w:w="3969" w:type="dxa"/>
            <w:shd w:val="clear" w:color="auto" w:fill="auto"/>
          </w:tcPr>
          <w:p w:rsidR="002029FF" w:rsidRPr="0043059C" w:rsidRDefault="002029FF" w:rsidP="001A1BA3">
            <w:pPr>
              <w:pStyle w:val="10"/>
              <w:jc w:val="both"/>
              <w:rPr>
                <w:lang w:val="uk-UA"/>
              </w:rPr>
            </w:pPr>
            <w:r w:rsidRPr="0043059C">
              <w:rPr>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029FF" w:rsidRPr="0043059C" w:rsidRDefault="002029FF" w:rsidP="001A1BA3">
            <w:pPr>
              <w:pStyle w:val="10"/>
              <w:jc w:val="both"/>
              <w:rPr>
                <w:lang w:val="uk-UA"/>
              </w:rPr>
            </w:pPr>
            <w:bookmarkStart w:id="0" w:name="n1277"/>
            <w:bookmarkEnd w:id="0"/>
            <w:r w:rsidRPr="0043059C">
              <w:rPr>
                <w:lang w:val="uk-UA"/>
              </w:rPr>
              <w:t>Учасник процедури закупівлі, що перебуває в обставинах, зазначених у </w:t>
            </w:r>
            <w:hyperlink r:id="rId7" w:anchor="n1276" w:history="1">
              <w:r w:rsidRPr="0043059C">
                <w:rPr>
                  <w:rStyle w:val="ab"/>
                  <w:lang w:val="uk-UA"/>
                </w:rPr>
                <w:t>частині другій</w:t>
              </w:r>
            </w:hyperlink>
            <w:r w:rsidRPr="0043059C">
              <w:rPr>
                <w:lang w:val="uk-UA"/>
              </w:rPr>
              <w:t xml:space="preserve"> цієї статті, може надати підтвердження вжиття заходів для доведення своєї надійності, незважаючи на </w:t>
            </w:r>
            <w:r w:rsidRPr="0043059C">
              <w:rPr>
                <w:lang w:val="uk-UA"/>
              </w:rPr>
              <w:lastRenderedPageBreak/>
              <w:t>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1" w:name="n1278"/>
            <w:bookmarkEnd w:id="1"/>
            <w:r w:rsidRPr="0043059C">
              <w:rPr>
                <w:lang w:val="uk-UA"/>
              </w:rPr>
              <w:t xml:space="preserve"> Якщо замовник вважає таке підтвердження достатнім, учаснику не може бути відмовлено в участі в процедурі закупівлі.</w:t>
            </w:r>
          </w:p>
        </w:tc>
        <w:tc>
          <w:tcPr>
            <w:tcW w:w="5387" w:type="dxa"/>
            <w:shd w:val="clear" w:color="auto" w:fill="auto"/>
          </w:tcPr>
          <w:p w:rsidR="0094051A" w:rsidRPr="0043059C" w:rsidRDefault="0094051A" w:rsidP="001A1BA3">
            <w:pPr>
              <w:pStyle w:val="10"/>
              <w:jc w:val="both"/>
              <w:rPr>
                <w:bCs/>
                <w:lang w:val="uk-UA"/>
              </w:rPr>
            </w:pPr>
            <w:r w:rsidRPr="0043059C">
              <w:rPr>
                <w:lang w:val="uk-UA"/>
              </w:rPr>
              <w:lastRenderedPageBreak/>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029FF" w:rsidRPr="0043059C" w:rsidRDefault="0094051A" w:rsidP="001A1BA3">
            <w:pPr>
              <w:pStyle w:val="10"/>
              <w:jc w:val="both"/>
              <w:rPr>
                <w:lang w:val="uk-UA"/>
              </w:rPr>
            </w:pPr>
            <w:r w:rsidRPr="0043059C">
              <w:rPr>
                <w:lang w:val="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r w:rsidR="0043059C" w:rsidRPr="0043059C" w:rsidTr="0043059C">
        <w:tc>
          <w:tcPr>
            <w:tcW w:w="3969" w:type="dxa"/>
            <w:shd w:val="clear" w:color="auto" w:fill="auto"/>
          </w:tcPr>
          <w:p w:rsidR="0043059C" w:rsidRPr="0043059C" w:rsidRDefault="0043059C" w:rsidP="001A1BA3">
            <w:pPr>
              <w:pStyle w:val="10"/>
              <w:jc w:val="both"/>
              <w:rPr>
                <w:lang w:val="uk-UA"/>
              </w:rPr>
            </w:pPr>
            <w:r>
              <w:rPr>
                <w:lang w:val="uk-UA"/>
              </w:rPr>
              <w:lastRenderedPageBreak/>
              <w:t xml:space="preserve">Інші документи, які надає переможець </w:t>
            </w:r>
          </w:p>
        </w:tc>
        <w:tc>
          <w:tcPr>
            <w:tcW w:w="5387" w:type="dxa"/>
            <w:shd w:val="clear" w:color="auto" w:fill="auto"/>
          </w:tcPr>
          <w:p w:rsidR="0043059C" w:rsidRPr="0043059C" w:rsidRDefault="0043059C" w:rsidP="001A1BA3">
            <w:pPr>
              <w:pStyle w:val="10"/>
              <w:jc w:val="both"/>
              <w:rPr>
                <w:lang w:val="uk-UA"/>
              </w:rPr>
            </w:pPr>
            <w:r w:rsidRPr="0043059C">
              <w:rPr>
                <w:lang w:val="uk-UA"/>
              </w:rPr>
              <w:t>1) відповідну інформацію про право підписання договору про закупівлю;</w:t>
            </w:r>
          </w:p>
          <w:p w:rsidR="0043059C" w:rsidRPr="0043059C" w:rsidRDefault="0043059C" w:rsidP="001A1BA3">
            <w:pPr>
              <w:pStyle w:val="10"/>
              <w:jc w:val="both"/>
            </w:pPr>
            <w:bookmarkStart w:id="2" w:name="n1764"/>
            <w:bookmarkEnd w:id="2"/>
            <w:r w:rsidRPr="0043059C">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bl>
    <w:p w:rsidR="00FD1047" w:rsidRDefault="00D70EEB" w:rsidP="00D70EEB">
      <w:pPr>
        <w:pStyle w:val="a3"/>
        <w:jc w:val="both"/>
        <w:rPr>
          <w:rFonts w:ascii="Times New Roman" w:hAnsi="Times New Roman"/>
          <w:i/>
          <w:sz w:val="24"/>
          <w:szCs w:val="24"/>
          <w:shd w:val="solid" w:color="FFFFFF" w:fill="FFFFFF"/>
          <w:lang w:val="uk-UA"/>
        </w:rPr>
      </w:pPr>
      <w:r w:rsidRPr="00870626">
        <w:rPr>
          <w:rFonts w:ascii="Times New Roman" w:hAnsi="Times New Roman"/>
          <w:i/>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70626" w:rsidRDefault="00870626" w:rsidP="00D70EEB">
      <w:pPr>
        <w:pStyle w:val="a3"/>
        <w:jc w:val="both"/>
        <w:rPr>
          <w:rFonts w:ascii="Times New Roman" w:hAnsi="Times New Roman"/>
          <w:i/>
          <w:sz w:val="24"/>
          <w:szCs w:val="24"/>
          <w:shd w:val="solid" w:color="FFFFFF" w:fill="FFFFFF"/>
          <w:lang w:val="uk-UA"/>
        </w:rPr>
      </w:pPr>
    </w:p>
    <w:p w:rsidR="004C08F0" w:rsidRDefault="004C08F0" w:rsidP="00D70EEB">
      <w:pPr>
        <w:pStyle w:val="a3"/>
        <w:jc w:val="both"/>
        <w:rPr>
          <w:rFonts w:ascii="Times New Roman" w:hAnsi="Times New Roman"/>
          <w:sz w:val="24"/>
          <w:szCs w:val="24"/>
          <w:shd w:val="solid" w:color="FFFFFF" w:fill="FFFFFF"/>
          <w:lang w:val="uk-UA"/>
        </w:rPr>
      </w:pPr>
    </w:p>
    <w:p w:rsidR="004C08F0" w:rsidRDefault="004C08F0" w:rsidP="00D70EEB">
      <w:pPr>
        <w:pStyle w:val="a3"/>
        <w:jc w:val="both"/>
        <w:rPr>
          <w:rFonts w:ascii="Times New Roman" w:hAnsi="Times New Roman"/>
          <w:sz w:val="24"/>
          <w:szCs w:val="24"/>
          <w:shd w:val="solid" w:color="FFFFFF" w:fill="FFFFFF"/>
          <w:lang w:val="uk-UA"/>
        </w:rPr>
      </w:pPr>
    </w:p>
    <w:p w:rsidR="004C08F0" w:rsidRPr="004C08F0" w:rsidRDefault="004C08F0" w:rsidP="004C08F0">
      <w:pPr>
        <w:spacing w:after="0" w:line="240" w:lineRule="auto"/>
        <w:jc w:val="center"/>
        <w:rPr>
          <w:b/>
          <w:color w:val="000000"/>
          <w:szCs w:val="28"/>
          <w:u w:val="single"/>
        </w:rPr>
      </w:pPr>
    </w:p>
    <w:p w:rsidR="004C08F0" w:rsidRPr="004C08F0" w:rsidRDefault="004C08F0" w:rsidP="004C08F0">
      <w:pPr>
        <w:spacing w:after="0" w:line="240" w:lineRule="auto"/>
        <w:jc w:val="center"/>
        <w:rPr>
          <w:b/>
          <w:color w:val="000000"/>
          <w:sz w:val="24"/>
          <w:szCs w:val="24"/>
          <w:u w:val="single"/>
        </w:rPr>
      </w:pPr>
    </w:p>
    <w:sectPr w:rsidR="004C08F0" w:rsidRPr="004C08F0" w:rsidSect="00FD1047">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Calibri"/>
    <w:charset w:val="00"/>
    <w:family w:val="swiss"/>
    <w:pitch w:val="variable"/>
    <w:sig w:usb0="00000201" w:usb1="00000000" w:usb2="00000000" w:usb3="00000000" w:csb0="00000005" w:csb1="00000000"/>
  </w:font>
  <w:font w:name="Malgun Gothic Semilight">
    <w:charset w:val="81"/>
    <w:family w:val="swiss"/>
    <w:pitch w:val="variable"/>
    <w:sig w:usb0="B0000AAF" w:usb1="09DF7CFB" w:usb2="00000012" w:usb3="00000000" w:csb0="003E01B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D1900"/>
    <w:multiLevelType w:val="multilevel"/>
    <w:tmpl w:val="B79EE1F2"/>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5738591D"/>
    <w:multiLevelType w:val="hybridMultilevel"/>
    <w:tmpl w:val="04D22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E70"/>
    <w:rsid w:val="00166142"/>
    <w:rsid w:val="0019267B"/>
    <w:rsid w:val="001A1BA3"/>
    <w:rsid w:val="002029FF"/>
    <w:rsid w:val="00202E70"/>
    <w:rsid w:val="0043059C"/>
    <w:rsid w:val="004B7F7D"/>
    <w:rsid w:val="004C08F0"/>
    <w:rsid w:val="00547765"/>
    <w:rsid w:val="006E356D"/>
    <w:rsid w:val="00870626"/>
    <w:rsid w:val="008861D9"/>
    <w:rsid w:val="008B7417"/>
    <w:rsid w:val="0094051A"/>
    <w:rsid w:val="00D70EEB"/>
    <w:rsid w:val="00F3027E"/>
    <w:rsid w:val="00FD1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70"/>
    <w:pPr>
      <w:spacing w:after="200" w:line="276" w:lineRule="auto"/>
    </w:pPr>
    <w:rPr>
      <w:rFonts w:ascii="Times New Roman" w:eastAsia="Times New Roman" w:hAnsi="Times New Roman"/>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ToR - tips and questions,Bullet"/>
    <w:link w:val="a4"/>
    <w:uiPriority w:val="1"/>
    <w:qFormat/>
    <w:rsid w:val="00202E70"/>
    <w:rPr>
      <w:sz w:val="22"/>
      <w:szCs w:val="22"/>
      <w:lang w:eastAsia="en-US"/>
    </w:rPr>
  </w:style>
  <w:style w:type="paragraph" w:styleId="a5">
    <w:name w:val="Normal (Web)"/>
    <w:aliases w:val="Обычный (веб) Знак, 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Обычный (Web)"/>
    <w:basedOn w:val="a"/>
    <w:link w:val="1"/>
    <w:uiPriority w:val="99"/>
    <w:unhideWhenUsed/>
    <w:qFormat/>
    <w:rsid w:val="00202E70"/>
    <w:pPr>
      <w:spacing w:before="100" w:beforeAutospacing="1" w:after="100" w:afterAutospacing="1" w:line="240" w:lineRule="auto"/>
    </w:pPr>
    <w:rPr>
      <w:rFonts w:ascii="Arial" w:eastAsia="SimSun"/>
      <w:color w:val="000000"/>
      <w:sz w:val="24"/>
      <w:szCs w:val="24"/>
      <w:lang w:eastAsia="ru-RU"/>
    </w:rPr>
  </w:style>
  <w:style w:type="paragraph" w:styleId="a6">
    <w:name w:val="List Paragraph"/>
    <w:aliases w:val="CA bullets,EBRD List,Chapter10,Список уровня 2,название табл/рис,AC List 01,Bullet List,FooterText,numbered,Elenco Normale,List Paragraph"/>
    <w:basedOn w:val="a"/>
    <w:link w:val="a7"/>
    <w:uiPriority w:val="34"/>
    <w:qFormat/>
    <w:rsid w:val="00202E70"/>
    <w:pPr>
      <w:ind w:left="720"/>
      <w:contextualSpacing/>
    </w:pPr>
  </w:style>
  <w:style w:type="character" w:customStyle="1" w:styleId="a7">
    <w:name w:val="Абзац списка Знак"/>
    <w:aliases w:val="CA bullets Знак,EBRD List Знак,Chapter10 Знак,Список уровня 2 Знак,название табл/рис Знак,AC List 01 Знак,Bullet List Знак,FooterText Знак,numbered Знак,Elenco Normale Знак,List Paragraph Знак"/>
    <w:link w:val="a6"/>
    <w:rsid w:val="00202E70"/>
    <w:rPr>
      <w:rFonts w:ascii="Times New Roman" w:eastAsia="Times New Roman" w:hAnsi="Times New Roman" w:cs="Times New Roman"/>
      <w:sz w:val="28"/>
      <w:lang w:val="uk-UA"/>
    </w:rPr>
  </w:style>
  <w:style w:type="table" w:customStyle="1" w:styleId="11">
    <w:name w:val="Сетка таблицы11"/>
    <w:basedOn w:val="a1"/>
    <w:next w:val="a8"/>
    <w:uiPriority w:val="39"/>
    <w:rsid w:val="00202E70"/>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202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202E70"/>
  </w:style>
  <w:style w:type="paragraph" w:styleId="a9">
    <w:name w:val="footer"/>
    <w:basedOn w:val="a"/>
    <w:link w:val="aa"/>
    <w:rsid w:val="00D70EEB"/>
    <w:pPr>
      <w:tabs>
        <w:tab w:val="center" w:pos="4153"/>
        <w:tab w:val="right" w:pos="8306"/>
      </w:tabs>
      <w:spacing w:after="0" w:line="240" w:lineRule="auto"/>
    </w:pPr>
    <w:rPr>
      <w:rFonts w:ascii="Antiqua" w:hAnsi="Antiqua"/>
      <w:sz w:val="26"/>
      <w:szCs w:val="20"/>
      <w:lang w:eastAsia="ru-RU"/>
    </w:rPr>
  </w:style>
  <w:style w:type="character" w:customStyle="1" w:styleId="aa">
    <w:name w:val="Нижний колонтитул Знак"/>
    <w:link w:val="a9"/>
    <w:rsid w:val="00D70EEB"/>
    <w:rPr>
      <w:rFonts w:ascii="Antiqua" w:eastAsia="Times New Roman" w:hAnsi="Antiqua"/>
      <w:sz w:val="26"/>
      <w:lang w:val="uk-UA"/>
    </w:rPr>
  </w:style>
  <w:style w:type="character" w:customStyle="1" w:styleId="a4">
    <w:name w:val="Без интервала Знак"/>
    <w:aliases w:val="nado12 Знак,ToR - tips and questions Знак,Bullet Знак"/>
    <w:link w:val="a3"/>
    <w:uiPriority w:val="1"/>
    <w:rsid w:val="004C08F0"/>
    <w:rPr>
      <w:sz w:val="22"/>
      <w:szCs w:val="22"/>
      <w:lang w:eastAsia="en-US"/>
    </w:rPr>
  </w:style>
  <w:style w:type="character" w:styleId="ab">
    <w:name w:val="Hyperlink"/>
    <w:rsid w:val="002029FF"/>
    <w:rPr>
      <w:rFonts w:cs="Times New Roman"/>
      <w:color w:val="0000FF"/>
      <w:u w:val="single"/>
    </w:rPr>
  </w:style>
  <w:style w:type="character" w:customStyle="1" w:styleId="1">
    <w:name w:val="Обычный (веб) Знак1"/>
    <w:aliases w:val="Обычный (веб) Знак Знак, 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5 Знак Знак"/>
    <w:link w:val="a5"/>
    <w:uiPriority w:val="99"/>
    <w:locked/>
    <w:rsid w:val="002029FF"/>
    <w:rPr>
      <w:rFonts w:ascii="Arial" w:eastAsia="SimSun" w:hAnsi="Times New Roman"/>
      <w:color w:val="000000"/>
      <w:sz w:val="24"/>
      <w:szCs w:val="24"/>
      <w:lang w:val="uk-UA"/>
    </w:rPr>
  </w:style>
  <w:style w:type="paragraph" w:customStyle="1" w:styleId="10">
    <w:name w:val="Без интервала1"/>
    <w:qFormat/>
    <w:rsid w:val="002029FF"/>
    <w:rPr>
      <w:rFonts w:ascii="Times New Roman" w:eastAsia="Times New Roman" w:hAnsi="Times New Roman"/>
      <w:sz w:val="24"/>
      <w:szCs w:val="24"/>
    </w:rPr>
  </w:style>
  <w:style w:type="character" w:styleId="ac">
    <w:name w:val="Emphasis"/>
    <w:uiPriority w:val="20"/>
    <w:qFormat/>
    <w:rsid w:val="002029FF"/>
    <w:rPr>
      <w:i/>
      <w:iCs/>
    </w:rPr>
  </w:style>
  <w:style w:type="paragraph" w:customStyle="1" w:styleId="2">
    <w:name w:val="Обычный2"/>
    <w:rsid w:val="002029FF"/>
    <w:pPr>
      <w:suppressAutoHyphens/>
      <w:spacing w:after="160" w:line="256" w:lineRule="auto"/>
      <w:ind w:firstLine="318"/>
      <w:jc w:val="both"/>
    </w:pPr>
    <w:rPr>
      <w:rFonts w:cs="Calibri"/>
      <w:sz w:val="22"/>
      <w:szCs w:val="22"/>
      <w:lang w:val="uk-UA" w:eastAsia="ar-SA"/>
    </w:rPr>
  </w:style>
  <w:style w:type="paragraph" w:customStyle="1" w:styleId="rvps2">
    <w:name w:val="rvps2"/>
    <w:basedOn w:val="a"/>
    <w:rsid w:val="00870626"/>
    <w:pPr>
      <w:spacing w:before="100" w:beforeAutospacing="1" w:after="100" w:afterAutospacing="1" w:line="240" w:lineRule="auto"/>
    </w:pPr>
    <w:rPr>
      <w:rFonts w:eastAsia="Calibri"/>
      <w:sz w:val="24"/>
      <w:szCs w:val="24"/>
      <w:lang w:eastAsia="uk-UA"/>
    </w:rPr>
  </w:style>
  <w:style w:type="paragraph" w:styleId="ad">
    <w:name w:val="header"/>
    <w:basedOn w:val="a"/>
    <w:link w:val="ae"/>
    <w:uiPriority w:val="99"/>
    <w:rsid w:val="00870626"/>
    <w:pPr>
      <w:tabs>
        <w:tab w:val="center" w:pos="4819"/>
        <w:tab w:val="right" w:pos="9639"/>
      </w:tabs>
      <w:spacing w:after="0" w:line="240" w:lineRule="auto"/>
    </w:pPr>
    <w:rPr>
      <w:rFonts w:ascii="Calibri" w:eastAsia="Calibri" w:hAnsi="Calibri"/>
      <w:sz w:val="20"/>
      <w:szCs w:val="20"/>
    </w:rPr>
  </w:style>
  <w:style w:type="character" w:customStyle="1" w:styleId="ae">
    <w:name w:val="Верхний колонтитул Знак"/>
    <w:link w:val="ad"/>
    <w:uiPriority w:val="99"/>
    <w:rsid w:val="00870626"/>
  </w:style>
</w:styles>
</file>

<file path=word/webSettings.xml><?xml version="1.0" encoding="utf-8"?>
<w:webSettings xmlns:r="http://schemas.openxmlformats.org/officeDocument/2006/relationships" xmlns:w="http://schemas.openxmlformats.org/wordprocessingml/2006/main">
  <w:divs>
    <w:div w:id="979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5" Type="http://schemas.openxmlformats.org/officeDocument/2006/relationships/hyperlink" Target="https://nazk.gov.ua/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2292</Words>
  <Characters>13070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15332</CharactersWithSpaces>
  <SharedDoc>false</SharedDoc>
  <HLinks>
    <vt:vector size="18" baseType="variant">
      <vt:variant>
        <vt:i4>1441881</vt:i4>
      </vt:variant>
      <vt:variant>
        <vt:i4>6</vt:i4>
      </vt:variant>
      <vt:variant>
        <vt:i4>0</vt:i4>
      </vt:variant>
      <vt:variant>
        <vt:i4>5</vt:i4>
      </vt:variant>
      <vt:variant>
        <vt:lpwstr>https://zakon.rada.gov.ua/laws/show/922-19/print</vt:lpwstr>
      </vt:variant>
      <vt:variant>
        <vt:lpwstr>n1276</vt:lpwstr>
      </vt:variant>
      <vt:variant>
        <vt:i4>5177363</vt:i4>
      </vt:variant>
      <vt:variant>
        <vt:i4>3</vt:i4>
      </vt:variant>
      <vt:variant>
        <vt:i4>0</vt:i4>
      </vt:variant>
      <vt:variant>
        <vt:i4>5</vt:i4>
      </vt:variant>
      <vt:variant>
        <vt:lpwstr>https://corruptinfo.nazk.gov.ua/reference/getpersonalreference/individual</vt:lpwstr>
      </vt:variant>
      <vt:variant>
        <vt:lpwstr/>
      </vt:variant>
      <vt:variant>
        <vt:i4>3866671</vt:i4>
      </vt:variant>
      <vt:variant>
        <vt:i4>0</vt:i4>
      </vt:variant>
      <vt:variant>
        <vt:i4>0</vt:i4>
      </vt:variant>
      <vt:variant>
        <vt:i4>5</vt:i4>
      </vt:variant>
      <vt:variant>
        <vt:lpwstr>https://nazk.gov.ua/uk/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2022-11-02T12:32:00Z</dcterms:created>
  <dcterms:modified xsi:type="dcterms:W3CDTF">2022-11-02T12:32:00Z</dcterms:modified>
</cp:coreProperties>
</file>