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9" w:rsidRPr="0098219E" w:rsidRDefault="00E23589" w:rsidP="00E2358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E23589" w:rsidRPr="0098219E" w:rsidRDefault="00E23589" w:rsidP="00E23589">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E23589"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_______________________________________, який діє на підставі ___________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E23589" w:rsidRPr="001F7951" w:rsidRDefault="001F7951" w:rsidP="001F7951">
      <w:pPr>
        <w:pStyle w:val="1"/>
        <w:shd w:val="clear" w:color="auto" w:fill="FDFEFD"/>
        <w:spacing w:before="0" w:line="240" w:lineRule="auto"/>
        <w:jc w:val="both"/>
        <w:textAlignment w:val="baseline"/>
        <w:rPr>
          <w:rFonts w:ascii="Times New Roman" w:eastAsia="Times New Roman" w:hAnsi="Times New Roman" w:cs="Times New Roman"/>
          <w:b/>
          <w:color w:val="auto"/>
          <w:kern w:val="36"/>
          <w:sz w:val="24"/>
          <w:szCs w:val="24"/>
          <w:lang w:val="uk-UA"/>
        </w:rPr>
      </w:pPr>
      <w:r>
        <w:rPr>
          <w:rFonts w:ascii="Times New Roman" w:hAnsi="Times New Roman" w:cs="Times New Roman"/>
          <w:color w:val="000000"/>
          <w:sz w:val="24"/>
          <w:szCs w:val="24"/>
          <w:lang w:val="uk-UA"/>
        </w:rPr>
        <w:t xml:space="preserve">    </w:t>
      </w:r>
      <w:r w:rsidR="00E23589" w:rsidRPr="0098219E">
        <w:rPr>
          <w:rFonts w:ascii="Times New Roman" w:hAnsi="Times New Roman" w:cs="Times New Roman"/>
          <w:color w:val="000000"/>
          <w:sz w:val="24"/>
          <w:szCs w:val="24"/>
          <w:lang w:val="uk-UA"/>
        </w:rPr>
        <w:t>1.1. Постачальник зобов’язується передати у власність Замовника</w:t>
      </w:r>
      <w:r w:rsidR="00E23589" w:rsidRPr="00F73736">
        <w:rPr>
          <w:rFonts w:ascii="Times New Roman" w:hAnsi="Times New Roman" w:cs="Times New Roman"/>
          <w:color w:val="000000"/>
          <w:sz w:val="24"/>
          <w:szCs w:val="24"/>
          <w:lang w:val="uk-UA"/>
        </w:rPr>
        <w:t>,</w:t>
      </w:r>
      <w:r w:rsidR="00E23589" w:rsidRPr="0098219E">
        <w:rPr>
          <w:rFonts w:ascii="Times New Roman" w:hAnsi="Times New Roman" w:cs="Times New Roman"/>
          <w:color w:val="000000"/>
          <w:sz w:val="24"/>
          <w:szCs w:val="24"/>
          <w:lang w:val="uk-UA"/>
        </w:rPr>
        <w:t xml:space="preserve"> а Замовник</w:t>
      </w:r>
      <w:bookmarkStart w:id="0" w:name="_Hlk78992024"/>
      <w:r w:rsidR="00E23589" w:rsidRPr="0098219E">
        <w:rPr>
          <w:rFonts w:ascii="Times New Roman" w:hAnsi="Times New Roman" w:cs="Times New Roman"/>
          <w:color w:val="000000"/>
          <w:sz w:val="24"/>
          <w:szCs w:val="24"/>
          <w:lang w:val="uk-UA"/>
        </w:rPr>
        <w:t xml:space="preserve"> прийняти товар за предметом закупівлі: </w:t>
      </w:r>
      <w:bookmarkEnd w:id="0"/>
      <w:r w:rsidR="00F448F5" w:rsidRPr="001F7951">
        <w:rPr>
          <w:rFonts w:ascii="Times New Roman" w:eastAsia="Times New Roman" w:hAnsi="Times New Roman" w:cs="Times New Roman"/>
          <w:b/>
          <w:color w:val="auto"/>
          <w:kern w:val="36"/>
          <w:sz w:val="24"/>
          <w:szCs w:val="24"/>
          <w:lang w:val="uk-UA"/>
        </w:rPr>
        <w:t xml:space="preserve">Тест-смужки </w:t>
      </w:r>
      <w:r w:rsidR="00F448F5" w:rsidRPr="001F7951">
        <w:rPr>
          <w:rFonts w:ascii="Times New Roman" w:eastAsia="Times New Roman" w:hAnsi="Times New Roman" w:cs="Times New Roman"/>
          <w:b/>
          <w:color w:val="auto"/>
          <w:kern w:val="36"/>
          <w:sz w:val="24"/>
          <w:szCs w:val="24"/>
        </w:rPr>
        <w:t>GlucoDr</w:t>
      </w:r>
      <w:r w:rsidR="00F448F5" w:rsidRPr="001F7951">
        <w:rPr>
          <w:rFonts w:ascii="Times New Roman" w:eastAsia="Times New Roman" w:hAnsi="Times New Roman" w:cs="Times New Roman"/>
          <w:b/>
          <w:color w:val="auto"/>
          <w:kern w:val="36"/>
          <w:sz w:val="24"/>
          <w:szCs w:val="24"/>
          <w:lang w:val="uk-UA"/>
        </w:rPr>
        <w:t>.</w:t>
      </w:r>
      <w:r w:rsidR="00F448F5" w:rsidRPr="001F7951">
        <w:rPr>
          <w:rFonts w:ascii="Times New Roman" w:eastAsia="Times New Roman" w:hAnsi="Times New Roman" w:cs="Times New Roman"/>
          <w:b/>
          <w:color w:val="auto"/>
          <w:kern w:val="36"/>
          <w:sz w:val="24"/>
          <w:szCs w:val="24"/>
        </w:rPr>
        <w:t>auto</w:t>
      </w:r>
      <w:r w:rsidR="00696550">
        <w:rPr>
          <w:rFonts w:ascii="Times New Roman" w:eastAsia="Times New Roman" w:hAnsi="Times New Roman" w:cs="Times New Roman"/>
          <w:b/>
          <w:color w:val="auto"/>
          <w:kern w:val="36"/>
          <w:sz w:val="24"/>
          <w:szCs w:val="24"/>
          <w:lang w:val="uk-UA"/>
        </w:rPr>
        <w:t xml:space="preserve"> </w:t>
      </w:r>
      <w:r w:rsidR="00F448F5" w:rsidRPr="001F7951">
        <w:rPr>
          <w:rFonts w:ascii="Times New Roman" w:eastAsia="Times New Roman" w:hAnsi="Times New Roman" w:cs="Times New Roman"/>
          <w:b/>
          <w:color w:val="auto"/>
          <w:kern w:val="36"/>
          <w:sz w:val="24"/>
          <w:szCs w:val="24"/>
        </w:rPr>
        <w:t>A</w:t>
      </w:r>
      <w:r w:rsidR="00696550">
        <w:rPr>
          <w:rFonts w:ascii="Times New Roman" w:eastAsia="Times New Roman" w:hAnsi="Times New Roman" w:cs="Times New Roman"/>
          <w:b/>
          <w:color w:val="auto"/>
          <w:kern w:val="36"/>
          <w:sz w:val="24"/>
          <w:szCs w:val="24"/>
          <w:lang w:val="uk-UA"/>
        </w:rPr>
        <w:t>,</w:t>
      </w:r>
      <w:r w:rsidR="00F448F5" w:rsidRPr="001F7951">
        <w:rPr>
          <w:rFonts w:ascii="Times New Roman" w:eastAsia="Times New Roman" w:hAnsi="Times New Roman" w:cs="Times New Roman"/>
          <w:b/>
          <w:color w:val="auto"/>
          <w:kern w:val="36"/>
          <w:sz w:val="24"/>
          <w:szCs w:val="24"/>
          <w:lang w:val="uk-UA"/>
        </w:rPr>
        <w:t xml:space="preserve"> </w:t>
      </w:r>
      <w:r w:rsidR="00F448F5" w:rsidRPr="00F448F5">
        <w:rPr>
          <w:rFonts w:ascii="Times New Roman" w:eastAsia="Times New Roman" w:hAnsi="Times New Roman" w:cs="Times New Roman"/>
          <w:b/>
          <w:color w:val="auto"/>
          <w:sz w:val="24"/>
          <w:szCs w:val="24"/>
          <w:lang w:val="uk-UA"/>
        </w:rPr>
        <w:t>50шт/уп.</w:t>
      </w:r>
      <w:r w:rsidR="00E23589" w:rsidRPr="001F7951">
        <w:rPr>
          <w:rFonts w:ascii="Times New Roman" w:eastAsia="Times New Roman" w:hAnsi="Times New Roman" w:cs="Times New Roman"/>
          <w:b/>
          <w:bCs/>
          <w:iCs/>
          <w:color w:val="auto"/>
          <w:sz w:val="24"/>
          <w:szCs w:val="24"/>
          <w:lang w:val="uk-UA" w:eastAsia="ru-RU"/>
        </w:rPr>
        <w:t xml:space="preserve"> (код ДК 021:2015:</w:t>
      </w:r>
      <w:r w:rsidRPr="001F7951">
        <w:rPr>
          <w:rFonts w:ascii="Times New Roman" w:hAnsi="Times New Roman" w:cs="Times New Roman"/>
          <w:b/>
          <w:color w:val="auto"/>
          <w:sz w:val="24"/>
          <w:szCs w:val="24"/>
          <w:bdr w:val="none" w:sz="0" w:space="0" w:color="auto" w:frame="1"/>
          <w:shd w:val="clear" w:color="auto" w:fill="FDFEFD"/>
          <w:lang w:val="uk-UA"/>
        </w:rPr>
        <w:t xml:space="preserve"> 33120000-7</w:t>
      </w:r>
      <w:r w:rsidRPr="001F7951">
        <w:rPr>
          <w:rFonts w:ascii="Times New Roman" w:hAnsi="Times New Roman" w:cs="Times New Roman"/>
          <w:b/>
          <w:color w:val="auto"/>
          <w:sz w:val="24"/>
          <w:szCs w:val="24"/>
          <w:shd w:val="clear" w:color="auto" w:fill="FDFEFD"/>
        </w:rPr>
        <w:t> </w:t>
      </w:r>
      <w:r w:rsidRPr="001F7951">
        <w:rPr>
          <w:rFonts w:ascii="Times New Roman" w:hAnsi="Times New Roman" w:cs="Times New Roman"/>
          <w:b/>
          <w:color w:val="auto"/>
          <w:sz w:val="24"/>
          <w:szCs w:val="24"/>
          <w:shd w:val="clear" w:color="auto" w:fill="FDFEFD"/>
          <w:lang w:val="uk-UA"/>
        </w:rPr>
        <w:t>-</w:t>
      </w:r>
      <w:r w:rsidRPr="001F7951">
        <w:rPr>
          <w:rFonts w:ascii="Times New Roman" w:hAnsi="Times New Roman" w:cs="Times New Roman"/>
          <w:b/>
          <w:color w:val="auto"/>
          <w:sz w:val="24"/>
          <w:szCs w:val="24"/>
          <w:shd w:val="clear" w:color="auto" w:fill="FDFEFD"/>
        </w:rPr>
        <w:t> </w:t>
      </w:r>
      <w:r w:rsidRPr="001F7951">
        <w:rPr>
          <w:rFonts w:ascii="Times New Roman" w:hAnsi="Times New Roman" w:cs="Times New Roman"/>
          <w:b/>
          <w:color w:val="auto"/>
          <w:sz w:val="24"/>
          <w:szCs w:val="24"/>
          <w:bdr w:val="none" w:sz="0" w:space="0" w:color="auto" w:frame="1"/>
          <w:shd w:val="clear" w:color="auto" w:fill="FDFEFD"/>
          <w:lang w:val="uk-UA"/>
        </w:rPr>
        <w:t>Системи реєстрації медичної інформації та дослідне обладнання</w:t>
      </w:r>
      <w:r w:rsidR="00E23589" w:rsidRPr="001F7951">
        <w:rPr>
          <w:rFonts w:ascii="Times New Roman" w:eastAsia="Times New Roman" w:hAnsi="Times New Roman" w:cs="Times New Roman"/>
          <w:b/>
          <w:bCs/>
          <w:iCs/>
          <w:color w:val="auto"/>
          <w:sz w:val="24"/>
          <w:szCs w:val="24"/>
          <w:lang w:val="uk-UA" w:eastAsia="ru-RU"/>
        </w:rPr>
        <w:t>)</w:t>
      </w:r>
      <w:r w:rsidR="00E23589" w:rsidRPr="001F7951">
        <w:rPr>
          <w:rFonts w:ascii="Times New Roman" w:eastAsia="Times New Roman" w:hAnsi="Times New Roman" w:cs="Times New Roman"/>
          <w:b/>
          <w:color w:val="auto"/>
          <w:kern w:val="36"/>
          <w:sz w:val="24"/>
          <w:szCs w:val="24"/>
          <w:lang w:val="uk-UA"/>
        </w:rPr>
        <w:t>.</w:t>
      </w:r>
      <w:r w:rsidR="00E23589" w:rsidRPr="001F7951">
        <w:rPr>
          <w:rFonts w:ascii="Times New Roman" w:hAnsi="Times New Roman" w:cs="Times New Roman"/>
          <w:b/>
          <w:color w:val="auto"/>
          <w:sz w:val="24"/>
          <w:szCs w:val="24"/>
          <w:lang w:val="uk-UA"/>
        </w:rPr>
        <w:t xml:space="preserve"> </w:t>
      </w:r>
    </w:p>
    <w:p w:rsidR="00E23589" w:rsidRPr="0098219E" w:rsidRDefault="00E23589" w:rsidP="001F7951">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070765">
        <w:rPr>
          <w:rFonts w:ascii="Times New Roman" w:eastAsia="Times New Roman" w:hAnsi="Times New Roman" w:cs="Times New Roman"/>
          <w:color w:val="000000"/>
          <w:sz w:val="24"/>
          <w:szCs w:val="24"/>
          <w:lang w:val="uk-UA"/>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E23589" w:rsidRPr="0098219E" w:rsidRDefault="00E23589" w:rsidP="001F79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E23589" w:rsidRPr="0098219E" w:rsidRDefault="00E23589" w:rsidP="001F7951">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E23589" w:rsidRPr="0098219E" w:rsidRDefault="00E23589" w:rsidP="00E23589">
      <w:pPr>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Pr>
          <w:rFonts w:ascii="Times New Roman" w:eastAsia="Times New Roman" w:hAnsi="Times New Roman" w:cs="Times New Roman"/>
          <w:color w:val="000000"/>
          <w:sz w:val="24"/>
          <w:szCs w:val="24"/>
          <w:lang w:val="uk-UA"/>
        </w:rPr>
        <w:t>Строк поставки Товару: за заявкою Замовника, остання поставка не пізніше 30.12.2023 р.</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E23589" w:rsidRPr="0098219E" w:rsidRDefault="00E23589" w:rsidP="00E23589">
      <w:pPr>
        <w:pBdr>
          <w:top w:val="nil"/>
          <w:left w:val="nil"/>
          <w:bottom w:val="nil"/>
          <w:right w:val="nil"/>
          <w:between w:val="nil"/>
        </w:pBd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E23589" w:rsidRPr="0098219E" w:rsidRDefault="00E23589" w:rsidP="00E23589">
      <w:pPr>
        <w:widowControl w:val="0"/>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E23589" w:rsidRPr="0098219E" w:rsidRDefault="00E23589" w:rsidP="00E23589">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E23589" w:rsidRPr="0098219E" w:rsidRDefault="00E23589" w:rsidP="00E23589">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E23589" w:rsidRPr="0098219E" w:rsidRDefault="00E23589" w:rsidP="00E23589">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E23589" w:rsidRPr="0098219E" w:rsidRDefault="00E23589" w:rsidP="00E2358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про виникнення форс-мажорних обставин, Сторона не має права посилатися на зазначені обставини </w:t>
      </w:r>
      <w:r w:rsidRPr="0098219E">
        <w:rPr>
          <w:rFonts w:ascii="Times New Roman" w:eastAsia="Times New Roman" w:hAnsi="Times New Roman" w:cs="Times New Roman"/>
          <w:color w:val="000000"/>
          <w:sz w:val="24"/>
          <w:szCs w:val="24"/>
          <w:lang w:val="uk-UA"/>
        </w:rPr>
        <w:lastRenderedPageBreak/>
        <w:t>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E23589" w:rsidRPr="0098219E" w:rsidRDefault="00E23589" w:rsidP="00E23589">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E23589" w:rsidRPr="0098219E" w:rsidRDefault="00E23589" w:rsidP="00E23589">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E23589" w:rsidRPr="0098219E" w:rsidRDefault="00E23589" w:rsidP="00E23589">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23589" w:rsidRPr="0098219E" w:rsidRDefault="00E23589" w:rsidP="00E23589">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23589" w:rsidRPr="0098219E" w:rsidRDefault="00E23589" w:rsidP="00E2358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w:t>
      </w:r>
      <w:r w:rsidR="00696550">
        <w:rPr>
          <w:rFonts w:ascii="Times New Roman" w:eastAsia="Times New Roman" w:hAnsi="Times New Roman" w:cs="Times New Roman"/>
          <w:color w:val="000000"/>
          <w:sz w:val="24"/>
          <w:szCs w:val="24"/>
          <w:lang w:val="uk-UA"/>
        </w:rPr>
        <w:t>ами і діє до 31 грудня 2023 р</w:t>
      </w:r>
      <w:r w:rsidRPr="0098219E">
        <w:rPr>
          <w:rFonts w:ascii="Times New Roman" w:eastAsia="Times New Roman" w:hAnsi="Times New Roman" w:cs="Times New Roman"/>
          <w:color w:val="000000"/>
          <w:sz w:val="24"/>
          <w:szCs w:val="24"/>
          <w:lang w:val="uk-UA"/>
        </w:rPr>
        <w:t>. Закінчення строку Договору не звільняє сторони від відповідальності за його порушення, яке мало місце під час дії Договору.</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E23589" w:rsidRPr="0098219E" w:rsidRDefault="00E23589" w:rsidP="00E2358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E23589" w:rsidRPr="0098219E" w:rsidRDefault="00E23589" w:rsidP="00E23589">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lastRenderedPageBreak/>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589" w:rsidRPr="0098219E" w:rsidRDefault="00E23589" w:rsidP="00E23589">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E23589" w:rsidRPr="0098219E" w:rsidRDefault="00E23589" w:rsidP="00E23589">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23589" w:rsidRPr="0098219E" w:rsidRDefault="00E23589" w:rsidP="00E23589">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23589" w:rsidRPr="0098219E" w:rsidRDefault="00E23589" w:rsidP="00E23589">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23589" w:rsidRPr="0098219E" w:rsidRDefault="00E23589" w:rsidP="00E23589">
      <w:pPr>
        <w:spacing w:after="0" w:line="240" w:lineRule="auto"/>
        <w:ind w:firstLine="720"/>
        <w:jc w:val="both"/>
        <w:rPr>
          <w:rFonts w:ascii="Times New Roman" w:eastAsia="Times New Roman" w:hAnsi="Times New Roman" w:cs="Times New Roman"/>
          <w:b/>
          <w:color w:val="4472C4"/>
          <w:sz w:val="24"/>
          <w:szCs w:val="24"/>
          <w:lang w:val="uk-UA"/>
        </w:rPr>
      </w:pPr>
      <w:r w:rsidRPr="0098219E">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8219E">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8219E">
        <w:rPr>
          <w:rFonts w:ascii="Times New Roman" w:eastAsia="Times New Roman" w:hAnsi="Times New Roman" w:cs="Times New Roman"/>
          <w:b/>
          <w:color w:val="000000"/>
          <w:sz w:val="24"/>
          <w:szCs w:val="24"/>
          <w:lang w:val="uk-UA"/>
        </w:rPr>
        <w:tab/>
      </w:r>
    </w:p>
    <w:p w:rsidR="00E23589" w:rsidRPr="0098219E" w:rsidRDefault="00E23589" w:rsidP="00E235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E23589" w:rsidRPr="0098219E" w:rsidRDefault="00E23589" w:rsidP="00E23589">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E23589" w:rsidRPr="0098219E" w:rsidTr="00B82DB6">
        <w:trPr>
          <w:trHeight w:val="278"/>
        </w:trPr>
        <w:tc>
          <w:tcPr>
            <w:tcW w:w="47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E23589" w:rsidRPr="0098219E" w:rsidTr="00B82DB6">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E23589" w:rsidRPr="0098219E" w:rsidTr="00B82DB6">
              <w:trPr>
                <w:trHeight w:val="148"/>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E23589" w:rsidRPr="0098219E" w:rsidTr="00B82DB6">
              <w:trPr>
                <w:trHeight w:val="148"/>
              </w:trPr>
              <w:tc>
                <w:tcPr>
                  <w:tcW w:w="4314" w:type="dxa"/>
                </w:tcPr>
                <w:p w:rsidR="00E23589" w:rsidRPr="0098219E" w:rsidRDefault="00E23589" w:rsidP="00B82DB6">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E23589" w:rsidRPr="0098219E" w:rsidRDefault="00E23589" w:rsidP="00B82DB6">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E23589" w:rsidRPr="0098219E" w:rsidRDefault="00E23589" w:rsidP="00B82DB6">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E23589" w:rsidRPr="0098219E" w:rsidTr="00B82DB6">
              <w:trPr>
                <w:trHeight w:val="17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E23589" w:rsidRPr="0098219E" w:rsidTr="00B82DB6">
              <w:trPr>
                <w:trHeight w:val="18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E23589" w:rsidRPr="0098219E" w:rsidTr="00B82DB6">
              <w:trPr>
                <w:trHeight w:val="17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E23589" w:rsidRPr="0098219E" w:rsidRDefault="00E23589" w:rsidP="00B82D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E23589" w:rsidRPr="0098219E" w:rsidTr="00B82DB6">
        <w:trPr>
          <w:trHeight w:val="964"/>
        </w:trPr>
        <w:tc>
          <w:tcPr>
            <w:tcW w:w="4768" w:type="dxa"/>
            <w:shd w:val="clear" w:color="auto" w:fill="auto"/>
          </w:tcPr>
          <w:p w:rsidR="00E23589" w:rsidRPr="0098219E" w:rsidRDefault="00E23589" w:rsidP="00B82DB6">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E23589" w:rsidRPr="0098219E" w:rsidRDefault="00E23589" w:rsidP="00B82DB6">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E23589" w:rsidRPr="0098219E" w:rsidRDefault="00E23589" w:rsidP="00E23589">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E23589" w:rsidRPr="0098219E" w:rsidRDefault="00E23589" w:rsidP="00E23589">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E23589" w:rsidRPr="0098219E" w:rsidRDefault="00E23589" w:rsidP="00E23589">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E23589" w:rsidRPr="0098219E" w:rsidRDefault="00E23589" w:rsidP="00E23589">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E23589" w:rsidRPr="0098219E" w:rsidRDefault="00E23589" w:rsidP="00E23589">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E23589" w:rsidRPr="0098219E" w:rsidRDefault="00E23589" w:rsidP="00E23589">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E23589" w:rsidRPr="0098219E" w:rsidRDefault="00E23589" w:rsidP="00E23589">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E23589" w:rsidRPr="0098219E" w:rsidTr="0098729B">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E23589" w:rsidRPr="0098219E" w:rsidRDefault="00E23589" w:rsidP="00B82DB6">
            <w:pPr>
              <w:spacing w:after="0" w:line="240" w:lineRule="auto"/>
              <w:rPr>
                <w:rFonts w:ascii="Times New Roman" w:eastAsia="Times New Roman" w:hAnsi="Times New Roman" w:cs="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3589" w:rsidRPr="0098219E" w:rsidRDefault="00E23589" w:rsidP="00B82DB6">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E23589" w:rsidRPr="0098219E" w:rsidTr="0098729B">
        <w:trPr>
          <w:trHeight w:val="322"/>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r>
      <w:tr w:rsidR="00E23589" w:rsidRPr="0098729B" w:rsidTr="0098729B">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E23589" w:rsidRPr="0098219E" w:rsidRDefault="0098729B" w:rsidP="00B82DB6">
            <w:pPr>
              <w:spacing w:after="0" w:line="240" w:lineRule="auto"/>
              <w:rPr>
                <w:rFonts w:ascii="Times New Roman" w:eastAsia="Times New Roman" w:hAnsi="Times New Roman" w:cs="Times New Roman"/>
                <w:sz w:val="24"/>
                <w:szCs w:val="24"/>
                <w:lang w:val="uk-UA"/>
              </w:rPr>
            </w:pPr>
            <w:r w:rsidRPr="001F7951">
              <w:rPr>
                <w:rFonts w:ascii="Times New Roman" w:eastAsia="Times New Roman" w:hAnsi="Times New Roman" w:cs="Times New Roman"/>
                <w:b/>
                <w:kern w:val="36"/>
                <w:sz w:val="24"/>
                <w:szCs w:val="24"/>
                <w:lang w:val="uk-UA"/>
              </w:rPr>
              <w:t xml:space="preserve">Тест-смужки </w:t>
            </w:r>
            <w:r w:rsidRPr="001F7951">
              <w:rPr>
                <w:rFonts w:ascii="Times New Roman" w:eastAsia="Times New Roman" w:hAnsi="Times New Roman" w:cs="Times New Roman"/>
                <w:b/>
                <w:kern w:val="36"/>
                <w:sz w:val="24"/>
                <w:szCs w:val="24"/>
              </w:rPr>
              <w:t>GlucoDr</w:t>
            </w:r>
            <w:r w:rsidRPr="001F7951">
              <w:rPr>
                <w:rFonts w:ascii="Times New Roman" w:eastAsia="Times New Roman" w:hAnsi="Times New Roman" w:cs="Times New Roman"/>
                <w:b/>
                <w:kern w:val="36"/>
                <w:sz w:val="24"/>
                <w:szCs w:val="24"/>
                <w:lang w:val="uk-UA"/>
              </w:rPr>
              <w:t>.</w:t>
            </w:r>
            <w:r w:rsidRPr="001F7951">
              <w:rPr>
                <w:rFonts w:ascii="Times New Roman" w:eastAsia="Times New Roman" w:hAnsi="Times New Roman" w:cs="Times New Roman"/>
                <w:b/>
                <w:kern w:val="36"/>
                <w:sz w:val="24"/>
                <w:szCs w:val="24"/>
              </w:rPr>
              <w:t>auto</w:t>
            </w:r>
            <w:r>
              <w:rPr>
                <w:rFonts w:ascii="Times New Roman" w:eastAsia="Times New Roman" w:hAnsi="Times New Roman" w:cs="Times New Roman"/>
                <w:b/>
                <w:kern w:val="36"/>
                <w:sz w:val="24"/>
                <w:szCs w:val="24"/>
                <w:lang w:val="uk-UA"/>
              </w:rPr>
              <w:t xml:space="preserve"> </w:t>
            </w:r>
            <w:r w:rsidRPr="001F7951">
              <w:rPr>
                <w:rFonts w:ascii="Times New Roman" w:eastAsia="Times New Roman" w:hAnsi="Times New Roman" w:cs="Times New Roman"/>
                <w:b/>
                <w:kern w:val="36"/>
                <w:sz w:val="24"/>
                <w:szCs w:val="24"/>
              </w:rPr>
              <w:t>A</w:t>
            </w:r>
            <w:r>
              <w:rPr>
                <w:rFonts w:ascii="Times New Roman" w:eastAsia="Times New Roman" w:hAnsi="Times New Roman" w:cs="Times New Roman"/>
                <w:b/>
                <w:kern w:val="36"/>
                <w:sz w:val="24"/>
                <w:szCs w:val="24"/>
                <w:lang w:val="uk-UA"/>
              </w:rPr>
              <w:t>,</w:t>
            </w:r>
            <w:r w:rsidRPr="001F7951">
              <w:rPr>
                <w:rFonts w:ascii="Times New Roman" w:eastAsia="Times New Roman" w:hAnsi="Times New Roman" w:cs="Times New Roman"/>
                <w:b/>
                <w:kern w:val="36"/>
                <w:sz w:val="24"/>
                <w:szCs w:val="24"/>
                <w:lang w:val="uk-UA"/>
              </w:rPr>
              <w:t xml:space="preserve"> </w:t>
            </w:r>
            <w:r w:rsidRPr="00F448F5">
              <w:rPr>
                <w:rFonts w:ascii="Times New Roman" w:eastAsia="Times New Roman" w:hAnsi="Times New Roman" w:cs="Times New Roman"/>
                <w:b/>
                <w:sz w:val="24"/>
                <w:szCs w:val="24"/>
                <w:lang w:val="uk-UA"/>
              </w:rPr>
              <w:t>50шт/уп</w:t>
            </w:r>
          </w:p>
        </w:tc>
        <w:tc>
          <w:tcPr>
            <w:tcW w:w="705" w:type="dxa"/>
            <w:tcBorders>
              <w:top w:val="nil"/>
              <w:left w:val="nil"/>
              <w:bottom w:val="single" w:sz="4" w:space="0" w:color="auto"/>
              <w:right w:val="single" w:sz="4" w:space="0" w:color="auto"/>
            </w:tcBorders>
            <w:noWrap/>
            <w:vAlign w:val="center"/>
          </w:tcPr>
          <w:p w:rsidR="00E23589" w:rsidRPr="0098219E" w:rsidRDefault="00070765" w:rsidP="00B82DB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bookmarkStart w:id="1" w:name="_GoBack"/>
            <w:bookmarkEnd w:id="1"/>
          </w:p>
        </w:tc>
        <w:tc>
          <w:tcPr>
            <w:tcW w:w="854" w:type="dxa"/>
            <w:tcBorders>
              <w:top w:val="nil"/>
              <w:left w:val="nil"/>
              <w:bottom w:val="single" w:sz="4" w:space="0" w:color="auto"/>
              <w:right w:val="single" w:sz="4" w:space="0" w:color="auto"/>
            </w:tcBorders>
            <w:noWrap/>
            <w:vAlign w:val="center"/>
          </w:tcPr>
          <w:p w:rsidR="00E23589" w:rsidRPr="0098219E" w:rsidRDefault="0098729B" w:rsidP="00B82DB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w:t>
            </w:r>
          </w:p>
        </w:tc>
        <w:tc>
          <w:tcPr>
            <w:tcW w:w="1417"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E23589" w:rsidRPr="0098219E" w:rsidRDefault="00E23589" w:rsidP="00B82DB6">
            <w:pPr>
              <w:spacing w:after="0" w:line="240" w:lineRule="auto"/>
              <w:ind w:left="-90" w:firstLine="90"/>
              <w:jc w:val="center"/>
              <w:rPr>
                <w:rFonts w:ascii="Times New Roman" w:eastAsia="Times New Roman" w:hAnsi="Times New Roman" w:cs="Times New Roman"/>
                <w:b/>
                <w:sz w:val="24"/>
                <w:szCs w:val="24"/>
                <w:lang w:val="uk-UA"/>
              </w:rPr>
            </w:pPr>
          </w:p>
        </w:tc>
      </w:tr>
      <w:tr w:rsidR="00E23589" w:rsidRPr="0098219E" w:rsidTr="0098729B">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E23589" w:rsidRPr="0098219E" w:rsidRDefault="00E23589" w:rsidP="00B82DB6">
            <w:pPr>
              <w:spacing w:after="0" w:line="240" w:lineRule="auto"/>
              <w:rPr>
                <w:rFonts w:ascii="Times New Roman" w:eastAsia="Times New Roman" w:hAnsi="Times New Roman" w:cs="Times New Roman"/>
                <w:sz w:val="24"/>
                <w:szCs w:val="24"/>
                <w:lang w:val="uk-UA"/>
              </w:rPr>
            </w:pPr>
          </w:p>
        </w:tc>
      </w:tr>
      <w:tr w:rsidR="00E23589" w:rsidRPr="0098219E" w:rsidTr="0098729B">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E23589" w:rsidRPr="0098219E" w:rsidRDefault="00E23589" w:rsidP="00B82DB6">
            <w:pPr>
              <w:spacing w:after="0" w:line="240" w:lineRule="auto"/>
              <w:rPr>
                <w:rFonts w:ascii="Times New Roman" w:eastAsia="Times New Roman" w:hAnsi="Times New Roman" w:cs="Times New Roman"/>
                <w:sz w:val="24"/>
                <w:szCs w:val="24"/>
                <w:lang w:val="uk-UA"/>
              </w:rPr>
            </w:pPr>
          </w:p>
        </w:tc>
      </w:tr>
    </w:tbl>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E23589" w:rsidRPr="00070765" w:rsidTr="00B82DB6">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E23589" w:rsidRPr="00070765" w:rsidTr="00B82DB6">
              <w:trPr>
                <w:trHeight w:val="198"/>
              </w:trPr>
              <w:tc>
                <w:tcPr>
                  <w:tcW w:w="4615"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E23589" w:rsidRPr="00070765" w:rsidTr="00B82DB6">
        <w:trPr>
          <w:trHeight w:val="487"/>
        </w:trPr>
        <w:tc>
          <w:tcPr>
            <w:tcW w:w="5354" w:type="dxa"/>
            <w:tcBorders>
              <w:right w:val="single" w:sz="4" w:space="0" w:color="auto"/>
            </w:tcBorders>
          </w:tcPr>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E23589" w:rsidRPr="0098219E" w:rsidTr="00B82DB6">
        <w:trPr>
          <w:trHeight w:val="458"/>
        </w:trPr>
        <w:tc>
          <w:tcPr>
            <w:tcW w:w="5354" w:type="dxa"/>
            <w:tcBorders>
              <w:righ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E23589" w:rsidRDefault="00E23589" w:rsidP="00E23589"/>
    <w:p w:rsidR="008D44B3" w:rsidRDefault="008D44B3"/>
    <w:sectPr w:rsidR="008D44B3" w:rsidSect="00DE1C64">
      <w:pgSz w:w="11906" w:h="16838" w:code="9"/>
      <w:pgMar w:top="568"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56"/>
    <w:rsid w:val="00070765"/>
    <w:rsid w:val="001F7951"/>
    <w:rsid w:val="00696550"/>
    <w:rsid w:val="008D44B3"/>
    <w:rsid w:val="0098729B"/>
    <w:rsid w:val="00A417BC"/>
    <w:rsid w:val="00DE6256"/>
    <w:rsid w:val="00E23589"/>
    <w:rsid w:val="00F448F5"/>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15D6"/>
  <w15:chartTrackingRefBased/>
  <w15:docId w15:val="{B31D1613-AB53-40AB-9B13-7E7ECBB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9"/>
  </w:style>
  <w:style w:type="paragraph" w:styleId="1">
    <w:name w:val="heading 1"/>
    <w:basedOn w:val="a"/>
    <w:next w:val="a"/>
    <w:link w:val="10"/>
    <w:uiPriority w:val="9"/>
    <w:qFormat/>
    <w:rsid w:val="00F44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8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0706">
      <w:bodyDiv w:val="1"/>
      <w:marLeft w:val="0"/>
      <w:marRight w:val="0"/>
      <w:marTop w:val="0"/>
      <w:marBottom w:val="0"/>
      <w:divBdr>
        <w:top w:val="none" w:sz="0" w:space="0" w:color="auto"/>
        <w:left w:val="none" w:sz="0" w:space="0" w:color="auto"/>
        <w:bottom w:val="none" w:sz="0" w:space="0" w:color="auto"/>
        <w:right w:val="none" w:sz="0" w:space="0" w:color="auto"/>
      </w:divBdr>
    </w:div>
    <w:div w:id="943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13</cp:revision>
  <dcterms:created xsi:type="dcterms:W3CDTF">2023-10-06T11:59:00Z</dcterms:created>
  <dcterms:modified xsi:type="dcterms:W3CDTF">2023-10-06T12:27:00Z</dcterms:modified>
</cp:coreProperties>
</file>