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10085A" w:rsidP="0010085A">
      <w:pPr>
        <w:ind w:firstLine="426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ПРОЕКТ</w:t>
      </w:r>
    </w:p>
    <w:p w:rsidR="0010085A" w:rsidRDefault="0010085A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1D75C0" w:rsidRDefault="001D75C0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1D75C0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</w:p>
    <w:p w:rsidR="009838B4" w:rsidRPr="0061342F" w:rsidRDefault="009838B4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 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</w:t>
      </w:r>
      <w:r w:rsidR="0012323C">
        <w:rPr>
          <w:rFonts w:ascii="Times New Roman" w:hAnsi="Times New Roman" w:cs="Times New Roman"/>
          <w:color w:val="212529"/>
          <w:lang w:val="uk-UA"/>
        </w:rPr>
        <w:t>_</w:t>
      </w:r>
      <w:bookmarkStart w:id="0" w:name="_GoBack"/>
      <w:bookmarkEnd w:id="0"/>
      <w:r w:rsidR="007F1E93">
        <w:rPr>
          <w:rFonts w:ascii="Times New Roman" w:hAnsi="Times New Roman" w:cs="Times New Roman"/>
          <w:color w:val="212529"/>
          <w:lang w:val="uk-UA"/>
        </w:rPr>
        <w:t>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1" w:name="n3"/>
      <w:bookmarkEnd w:id="1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2" w:name="o41"/>
      <w:bookmarkEnd w:id="2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 xml:space="preserve">із урахуванням положень п.25, а у разі зростання цін на ресурси – п.26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3" w:name="o68"/>
      <w:bookmarkEnd w:id="3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4" w:name="o70"/>
      <w:bookmarkStart w:id="5" w:name="o74"/>
      <w:bookmarkEnd w:id="4"/>
      <w:bookmarkEnd w:id="5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6" w:name="o75"/>
      <w:bookmarkEnd w:id="6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7" w:name="o76"/>
      <w:bookmarkEnd w:id="7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8" w:name="o79"/>
      <w:bookmarkStart w:id="9" w:name="o80"/>
      <w:bookmarkStart w:id="10" w:name="o81"/>
      <w:bookmarkEnd w:id="8"/>
      <w:bookmarkEnd w:id="9"/>
      <w:bookmarkEnd w:id="10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1" w:name="o103"/>
      <w:bookmarkEnd w:id="11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 xml:space="preserve">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lastRenderedPageBreak/>
        <w:t xml:space="preserve">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2" w:name="o202"/>
      <w:bookmarkEnd w:id="12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3" w:name="o203"/>
      <w:bookmarkEnd w:id="13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4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5" w:name="o205"/>
      <w:bookmarkEnd w:id="15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Підрядник </w:t>
      </w:r>
      <w:r w:rsidRPr="001B303C">
        <w:rPr>
          <w:rFonts w:ascii="Times New Roman" w:hAnsi="Times New Roman" w:cs="Times New Roman"/>
          <w:lang w:val="uk-UA"/>
        </w:rPr>
        <w:lastRenderedPageBreak/>
        <w:t>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 xml:space="preserve">до 3 та 17 числа кожного поточного </w:t>
      </w:r>
      <w:r w:rsidR="00EE6024">
        <w:rPr>
          <w:rFonts w:ascii="Times New Roman" w:hAnsi="Times New Roman" w:cs="Times New Roman"/>
          <w:lang w:val="uk-UA"/>
        </w:rPr>
        <w:lastRenderedPageBreak/>
        <w:t>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r w:rsidR="000B0DB0">
        <w:rPr>
          <w:rStyle w:val="af1"/>
          <w:rFonts w:ascii="Times New Roman" w:hAnsi="Times New Roman" w:cs="Times New Roman"/>
          <w:shd w:val="clear" w:color="auto" w:fill="FFFFFF"/>
          <w:lang w:val="en-US"/>
        </w:rPr>
        <w:fldChar w:fldCharType="begin"/>
      </w:r>
      <w:r w:rsidR="000B0DB0" w:rsidRPr="0012323C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 xml:space="preserve"> </w:instrText>
      </w:r>
      <w:r w:rsidR="000B0DB0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HYPERLINK</w:instrText>
      </w:r>
      <w:r w:rsidR="000B0DB0" w:rsidRPr="0012323C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 xml:space="preserve"> "</w:instrText>
      </w:r>
      <w:r w:rsidR="000B0DB0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mailto</w:instrText>
      </w:r>
      <w:r w:rsidR="000B0DB0" w:rsidRPr="0012323C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>:</w:instrText>
      </w:r>
      <w:r w:rsidR="000B0DB0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kapbud</w:instrText>
      </w:r>
      <w:r w:rsidR="000B0DB0" w:rsidRPr="0012323C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>@</w:instrText>
      </w:r>
      <w:r w:rsidR="000B0DB0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i</w:instrText>
      </w:r>
      <w:r w:rsidR="000B0DB0" w:rsidRPr="0012323C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>.</w:instrText>
      </w:r>
      <w:r w:rsidR="000B0DB0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ua</w:instrText>
      </w:r>
      <w:r w:rsidR="000B0DB0" w:rsidRPr="0012323C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 xml:space="preserve">" </w:instrText>
      </w:r>
      <w:r w:rsidR="000B0DB0">
        <w:rPr>
          <w:rStyle w:val="af1"/>
          <w:rFonts w:ascii="Times New Roman" w:hAnsi="Times New Roman" w:cs="Times New Roman"/>
          <w:shd w:val="clear" w:color="auto" w:fill="FFFFFF"/>
          <w:lang w:val="en-US"/>
        </w:rPr>
        <w:fldChar w:fldCharType="separate"/>
      </w:r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en-US"/>
        </w:rPr>
        <w:t>kapbud</w:t>
      </w:r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uk-UA"/>
        </w:rPr>
        <w:t>@</w:t>
      </w:r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en-US"/>
        </w:rPr>
        <w:t>i</w:t>
      </w:r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uk-UA"/>
        </w:rPr>
        <w:t>.</w:t>
      </w:r>
      <w:proofErr w:type="spellStart"/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0B0DB0">
        <w:rPr>
          <w:rStyle w:val="af1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>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 xml:space="preserve">якісно виконаних </w:t>
      </w:r>
      <w:r w:rsidRPr="001B303C">
        <w:rPr>
          <w:rFonts w:ascii="Times New Roman" w:hAnsi="Times New Roman" w:cs="Times New Roman"/>
          <w:lang w:val="uk-UA"/>
        </w:rPr>
        <w:lastRenderedPageBreak/>
        <w:t>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 xml:space="preserve">щодо належної якості  </w:t>
      </w:r>
      <w:r w:rsidR="006D6972">
        <w:rPr>
          <w:rFonts w:ascii="Times New Roman" w:hAnsi="Times New Roman" w:cs="Times New Roman"/>
          <w:lang w:val="uk-UA"/>
        </w:rPr>
        <w:lastRenderedPageBreak/>
        <w:t>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BD2AD8">
        <w:rPr>
          <w:rFonts w:ascii="Times New Roman" w:hAnsi="Times New Roman" w:cs="Times New Roman"/>
          <w:lang w:val="uk-UA"/>
        </w:rPr>
        <w:t>_________________________</w:t>
      </w:r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lastRenderedPageBreak/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12323C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12323C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B0" w:rsidRDefault="000B0DB0" w:rsidP="00E62BD6">
      <w:r>
        <w:separator/>
      </w:r>
    </w:p>
  </w:endnote>
  <w:endnote w:type="continuationSeparator" w:id="0">
    <w:p w:rsidR="000B0DB0" w:rsidRDefault="000B0DB0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12323C" w:rsidRPr="0012323C">
          <w:rPr>
            <w:noProof/>
            <w:sz w:val="20"/>
            <w:szCs w:val="20"/>
            <w:lang w:val="uk-UA"/>
          </w:rPr>
          <w:t>2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B0" w:rsidRDefault="000B0DB0" w:rsidP="00E62BD6">
      <w:r>
        <w:separator/>
      </w:r>
    </w:p>
  </w:footnote>
  <w:footnote w:type="continuationSeparator" w:id="0">
    <w:p w:rsidR="000B0DB0" w:rsidRDefault="000B0DB0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3A55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0DB0"/>
    <w:rsid w:val="000B5CEB"/>
    <w:rsid w:val="000B68A2"/>
    <w:rsid w:val="000B70DC"/>
    <w:rsid w:val="000C36CE"/>
    <w:rsid w:val="000D1FBE"/>
    <w:rsid w:val="000D25A2"/>
    <w:rsid w:val="000D4E3E"/>
    <w:rsid w:val="000E3C94"/>
    <w:rsid w:val="000E6EB1"/>
    <w:rsid w:val="0010085A"/>
    <w:rsid w:val="0011481C"/>
    <w:rsid w:val="00117EC6"/>
    <w:rsid w:val="00123137"/>
    <w:rsid w:val="0012323C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D75C0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1C99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2606E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2A1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D2AD8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6B5E-EE16-4DFE-9EE9-22D27F7B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25634</Words>
  <Characters>14612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13</cp:revision>
  <cp:lastPrinted>2022-09-02T09:13:00Z</cp:lastPrinted>
  <dcterms:created xsi:type="dcterms:W3CDTF">2023-04-17T14:06:00Z</dcterms:created>
  <dcterms:modified xsi:type="dcterms:W3CDTF">2023-10-23T12:26:00Z</dcterms:modified>
</cp:coreProperties>
</file>