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6DFCAC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1708EEC" w14:textId="77777777" w:rsidR="00095577" w:rsidRPr="004128FF"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5BB683BC" w14:textId="00B4846E" w:rsidR="00095577" w:rsidRPr="004128FF"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w:t>
      </w:r>
      <w:r w:rsidR="009D6E7B" w:rsidRPr="004128FF">
        <w:rPr>
          <w:rFonts w:ascii="Times New Roman" w:hAnsi="Times New Roman"/>
          <w:sz w:val="26"/>
          <w:szCs w:val="26"/>
        </w:rPr>
        <w:t>3783</w:t>
      </w:r>
      <w:r w:rsidRPr="004128FF">
        <w:rPr>
          <w:rFonts w:ascii="Times New Roman" w:eastAsia="Times New Roman" w:hAnsi="Times New Roman"/>
          <w:sz w:val="26"/>
          <w:szCs w:val="26"/>
          <w:lang w:eastAsia="ru-RU"/>
        </w:rPr>
        <w:t>.</w:t>
      </w:r>
    </w:p>
    <w:p w14:paraId="03E8A648" w14:textId="42006EA5" w:rsidR="00095577" w:rsidRPr="004128FF"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009D6E7B"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F3FC99D" w14:textId="4D756024" w:rsidR="00095577" w:rsidRPr="004128FF" w:rsidRDefault="00C41280">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 xml:space="preserve">Місцезнаходження: Україна, </w:t>
      </w:r>
      <w:r w:rsidR="009D6E7B" w:rsidRPr="004128FF">
        <w:rPr>
          <w:rFonts w:ascii="Times New Roman" w:hAnsi="Times New Roman"/>
          <w:sz w:val="26"/>
          <w:szCs w:val="26"/>
        </w:rPr>
        <w:t>c. Красносілка</w:t>
      </w:r>
    </w:p>
    <w:p w14:paraId="1D263B05" w14:textId="57C6EFDA" w:rsidR="00095577" w:rsidRPr="004128FF" w:rsidRDefault="00C41280">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009D6E7B" w:rsidRPr="004128FF">
        <w:rPr>
          <w:rFonts w:ascii="Times New Roman" w:hAnsi="Times New Roman"/>
          <w:sz w:val="26"/>
          <w:szCs w:val="26"/>
        </w:rPr>
        <w:t>Десюк</w:t>
      </w:r>
      <w:proofErr w:type="spellEnd"/>
      <w:r w:rsidR="009D6E7B" w:rsidRPr="004128FF">
        <w:rPr>
          <w:rFonts w:ascii="Times New Roman" w:hAnsi="Times New Roman"/>
          <w:sz w:val="26"/>
          <w:szCs w:val="26"/>
        </w:rPr>
        <w:t xml:space="preserve"> Дмитро</w:t>
      </w:r>
      <w:r w:rsidRPr="004128FF">
        <w:rPr>
          <w:rFonts w:ascii="Times New Roman" w:hAnsi="Times New Roman"/>
          <w:sz w:val="26"/>
          <w:szCs w:val="26"/>
        </w:rPr>
        <w:t>, Уповноважена особа військової частини А</w:t>
      </w:r>
      <w:r w:rsidR="009D6E7B" w:rsidRPr="004128FF">
        <w:rPr>
          <w:rFonts w:ascii="Times New Roman" w:hAnsi="Times New Roman"/>
          <w:sz w:val="26"/>
          <w:szCs w:val="26"/>
        </w:rPr>
        <w:t>3783</w:t>
      </w:r>
      <w:r w:rsidRPr="004128FF">
        <w:rPr>
          <w:rFonts w:ascii="Times New Roman" w:hAnsi="Times New Roman"/>
          <w:sz w:val="26"/>
          <w:szCs w:val="26"/>
        </w:rPr>
        <w:t>;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009D6E7B" w:rsidRPr="004128FF">
          <w:rPr>
            <w:rStyle w:val="a9"/>
            <w:rFonts w:ascii="Times New Roman" w:hAnsi="Times New Roman"/>
            <w:color w:val="auto"/>
            <w:sz w:val="26"/>
            <w:szCs w:val="26"/>
          </w:rPr>
          <w:t>a3783_tk@post.mil.gov.ua</w:t>
        </w:r>
      </w:hyperlink>
    </w:p>
    <w:p w14:paraId="5EB2DE05" w14:textId="09FA9809"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sidR="0098022F">
        <w:rPr>
          <w:rFonts w:ascii="Times New Roman" w:eastAsia="Times New Roman" w:hAnsi="Times New Roman"/>
          <w:b/>
          <w:i/>
          <w:sz w:val="28"/>
          <w:szCs w:val="28"/>
          <w:lang w:eastAsia="ru-RU"/>
        </w:rPr>
        <w:t>17960</w:t>
      </w:r>
      <w:r w:rsidR="00202027" w:rsidRPr="004128FF">
        <w:rPr>
          <w:rFonts w:ascii="Times New Roman" w:eastAsia="Times New Roman" w:hAnsi="Times New Roman"/>
          <w:b/>
          <w:i/>
          <w:sz w:val="28"/>
          <w:szCs w:val="28"/>
          <w:lang w:eastAsia="ru-RU"/>
        </w:rPr>
        <w:t>,00</w:t>
      </w:r>
      <w:r w:rsidRPr="004128FF">
        <w:rPr>
          <w:rFonts w:ascii="Times New Roman" w:eastAsia="Times New Roman" w:hAnsi="Times New Roman"/>
          <w:b/>
          <w:i/>
          <w:sz w:val="28"/>
          <w:szCs w:val="28"/>
          <w:lang w:eastAsia="ru-RU"/>
        </w:rPr>
        <w:t xml:space="preserve"> грн.</w:t>
      </w:r>
      <w:r w:rsidRPr="004128FF">
        <w:rPr>
          <w:rFonts w:ascii="Times New Roman" w:eastAsia="Times New Roman" w:hAnsi="Times New Roman"/>
          <w:i/>
          <w:sz w:val="26"/>
          <w:szCs w:val="26"/>
          <w:lang w:eastAsia="ru-RU"/>
        </w:rPr>
        <w:t xml:space="preserve"> </w:t>
      </w:r>
      <w:r w:rsidRPr="004128FF">
        <w:rPr>
          <w:rFonts w:ascii="Times New Roman" w:hAnsi="Times New Roman"/>
          <w:i/>
          <w:sz w:val="26"/>
          <w:szCs w:val="26"/>
        </w:rPr>
        <w:t>з урахуванням ПДВ</w:t>
      </w:r>
      <w:r w:rsidR="00BF4444" w:rsidRPr="004128FF">
        <w:rPr>
          <w:rFonts w:ascii="Times New Roman" w:hAnsi="Times New Roman"/>
          <w:i/>
          <w:sz w:val="26"/>
          <w:szCs w:val="26"/>
        </w:rPr>
        <w:t>.</w:t>
      </w:r>
    </w:p>
    <w:p w14:paraId="0EFC504B" w14:textId="77777777" w:rsidR="00095577" w:rsidRPr="004128FF"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F3CD1B5" w14:textId="27457787" w:rsidR="00815B3D" w:rsidRPr="004128FF" w:rsidRDefault="00C41280" w:rsidP="00815B3D">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4128FF">
        <w:rPr>
          <w:rFonts w:ascii="Times New Roman" w:eastAsia="Times New Roman" w:hAnsi="Times New Roman"/>
          <w:spacing w:val="-4"/>
          <w:sz w:val="28"/>
          <w:szCs w:val="28"/>
          <w:lang w:eastAsia="ru-RU"/>
        </w:rPr>
        <w:t>ДК 021:2015</w:t>
      </w:r>
      <w:r w:rsidR="003E51B8" w:rsidRPr="004128FF">
        <w:rPr>
          <w:rFonts w:ascii="Times New Roman" w:eastAsia="Times New Roman" w:hAnsi="Times New Roman"/>
          <w:spacing w:val="-4"/>
          <w:sz w:val="28"/>
          <w:szCs w:val="28"/>
          <w:lang w:eastAsia="ru-RU"/>
        </w:rPr>
        <w:t xml:space="preserve">: </w:t>
      </w:r>
      <w:r w:rsidR="00D760E6" w:rsidRPr="00D760E6">
        <w:rPr>
          <w:rFonts w:ascii="Times New Roman" w:hAnsi="Times New Roman"/>
          <w:b/>
          <w:bCs/>
          <w:color w:val="000000"/>
          <w:sz w:val="28"/>
          <w:szCs w:val="28"/>
        </w:rPr>
        <w:t>34390000-7</w:t>
      </w:r>
      <w:r w:rsidR="00D760E6">
        <w:rPr>
          <w:rFonts w:ascii="Segoe UI" w:hAnsi="Segoe UI" w:cs="Segoe UI"/>
          <w:color w:val="000000"/>
          <w:sz w:val="25"/>
          <w:szCs w:val="25"/>
        </w:rPr>
        <w:t> </w:t>
      </w:r>
      <w:hyperlink r:id="rId8" w:history="1">
        <w:r w:rsidR="00D760E6">
          <w:rPr>
            <w:rStyle w:val="a9"/>
            <w:rFonts w:ascii="Segoe UI" w:hAnsi="Segoe UI" w:cs="Segoe UI"/>
            <w:color w:val="FFFFFF"/>
            <w:sz w:val="2"/>
            <w:szCs w:val="2"/>
          </w:rPr>
          <w:t xml:space="preserve">Тут https://dk21.dovidnyk.info/index.php?rozd=3439 про </w:t>
        </w:r>
        <w:r w:rsidR="00D760E6">
          <w:rPr>
            <w:rStyle w:val="a9"/>
            <w:rFonts w:ascii="Cambria Math" w:hAnsi="Cambria Math" w:cs="Cambria Math"/>
            <w:color w:val="FFFFFF"/>
            <w:sz w:val="2"/>
            <w:szCs w:val="2"/>
          </w:rPr>
          <w:t>ℹ</w:t>
        </w:r>
        <w:r w:rsidR="00D760E6">
          <w:rPr>
            <w:rStyle w:val="a9"/>
            <w:rFonts w:ascii="Segoe UI" w:hAnsi="Segoe UI" w:cs="Segoe UI"/>
            <w:color w:val="FFFFFF"/>
            <w:sz w:val="2"/>
            <w:szCs w:val="2"/>
          </w:rPr>
          <w:t xml:space="preserve"> ДК 021:2015 </w:t>
        </w:r>
        <w:r w:rsidR="00D760E6">
          <w:rPr>
            <w:rStyle w:val="a9"/>
            <w:rFonts w:ascii="Cambria Math" w:hAnsi="Cambria Math" w:cs="Cambria Math"/>
            <w:color w:val="FFFFFF"/>
            <w:sz w:val="2"/>
            <w:szCs w:val="2"/>
          </w:rPr>
          <w:t>ℹ</w:t>
        </w:r>
      </w:hyperlink>
      <w:hyperlink r:id="rId9" w:history="1">
        <w:r w:rsidR="00874735" w:rsidRPr="004128FF">
          <w:rPr>
            <w:rStyle w:val="a9"/>
            <w:rFonts w:ascii="Segoe UI" w:hAnsi="Segoe UI" w:cs="Segoe UI"/>
            <w:color w:val="FFFFFF"/>
            <w:sz w:val="2"/>
            <w:szCs w:val="2"/>
          </w:rPr>
          <w:t xml:space="preserve">Тут https://dk21.dovidnyk.info/index.php?todo=search&amp;word=38340000-0 про </w:t>
        </w:r>
        <w:r w:rsidR="00874735" w:rsidRPr="004128FF">
          <w:rPr>
            <w:rStyle w:val="a9"/>
            <w:rFonts w:ascii="Cambria Math" w:hAnsi="Cambria Math" w:cs="Cambria Math"/>
            <w:color w:val="FFFFFF"/>
            <w:sz w:val="2"/>
            <w:szCs w:val="2"/>
          </w:rPr>
          <w:t>ℹ</w:t>
        </w:r>
        <w:r w:rsidR="00874735" w:rsidRPr="004128FF">
          <w:rPr>
            <w:rStyle w:val="a9"/>
            <w:rFonts w:ascii="Segoe UI" w:hAnsi="Segoe UI" w:cs="Segoe UI"/>
            <w:color w:val="FFFFFF"/>
            <w:sz w:val="2"/>
            <w:szCs w:val="2"/>
          </w:rPr>
          <w:t xml:space="preserve"> ДК 021:2015 </w:t>
        </w:r>
        <w:r w:rsidR="00874735" w:rsidRPr="004128FF">
          <w:rPr>
            <w:rStyle w:val="a9"/>
            <w:rFonts w:ascii="Cambria Math" w:hAnsi="Cambria Math" w:cs="Cambria Math"/>
            <w:color w:val="FFFFFF"/>
            <w:sz w:val="2"/>
            <w:szCs w:val="2"/>
          </w:rPr>
          <w:t>ℹ</w:t>
        </w:r>
      </w:hyperlink>
    </w:p>
    <w:p w14:paraId="165D75C3" w14:textId="100EFF81" w:rsidR="00CF5168" w:rsidRPr="004128FF"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00D760E6" w:rsidRPr="00D760E6">
        <w:rPr>
          <w:rFonts w:ascii="Times New Roman" w:hAnsi="Times New Roman"/>
          <w:color w:val="000000"/>
          <w:sz w:val="28"/>
          <w:szCs w:val="28"/>
        </w:rPr>
        <w:t>Приладдя до тракторів </w:t>
      </w:r>
      <w:r w:rsidR="00AA0BFC" w:rsidRPr="004128FF">
        <w:rPr>
          <w:rFonts w:ascii="Times New Roman" w:eastAsia="Times New Roman" w:hAnsi="Times New Roman"/>
          <w:spacing w:val="-4"/>
          <w:sz w:val="28"/>
          <w:szCs w:val="28"/>
          <w:lang w:eastAsia="ru-RU"/>
        </w:rPr>
        <w:t>)</w:t>
      </w:r>
    </w:p>
    <w:p w14:paraId="4E985A0A" w14:textId="077F4595" w:rsidR="00CA0E89" w:rsidRPr="004128FF" w:rsidRDefault="0098022F"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Гідроциліндр підйом</w:t>
      </w:r>
      <w:r w:rsidR="0045672A">
        <w:rPr>
          <w:rFonts w:ascii="Times New Roman" w:hAnsi="Times New Roman"/>
          <w:b/>
          <w:sz w:val="28"/>
          <w:szCs w:val="28"/>
          <w:lang w:val="uk-UA"/>
        </w:rPr>
        <w:t>у</w:t>
      </w:r>
      <w:r>
        <w:rPr>
          <w:rFonts w:ascii="Times New Roman" w:hAnsi="Times New Roman"/>
          <w:b/>
          <w:sz w:val="28"/>
          <w:szCs w:val="28"/>
          <w:lang w:val="uk-UA"/>
        </w:rPr>
        <w:t xml:space="preserve"> стріли (13.6150.000) </w:t>
      </w:r>
      <w:r w:rsidR="00A060CE">
        <w:rPr>
          <w:rFonts w:ascii="Times New Roman" w:hAnsi="Times New Roman"/>
          <w:b/>
          <w:sz w:val="28"/>
          <w:szCs w:val="28"/>
          <w:lang w:val="uk-UA"/>
        </w:rPr>
        <w:t xml:space="preserve"> ЕО – 2621</w:t>
      </w:r>
      <w:r w:rsidR="00656EA2">
        <w:rPr>
          <w:rFonts w:ascii="Times New Roman" w:hAnsi="Times New Roman"/>
          <w:b/>
          <w:sz w:val="28"/>
          <w:szCs w:val="28"/>
          <w:lang w:val="uk-UA"/>
        </w:rPr>
        <w:t xml:space="preserve"> </w:t>
      </w:r>
      <w:r w:rsidR="00656EA2" w:rsidRPr="00656EA2">
        <w:rPr>
          <w:rFonts w:ascii="Times New Roman" w:hAnsi="Times New Roman"/>
          <w:b/>
          <w:sz w:val="28"/>
          <w:szCs w:val="28"/>
          <w:lang w:val="uk-UA"/>
        </w:rPr>
        <w:t>або еквівалент</w:t>
      </w:r>
      <w:r w:rsidR="00A060CE">
        <w:rPr>
          <w:rFonts w:ascii="Times New Roman" w:hAnsi="Times New Roman"/>
          <w:b/>
          <w:sz w:val="28"/>
          <w:szCs w:val="28"/>
          <w:lang w:val="uk-UA"/>
        </w:rPr>
        <w:t xml:space="preserve"> </w:t>
      </w:r>
      <w:r>
        <w:rPr>
          <w:rFonts w:ascii="Times New Roman" w:hAnsi="Times New Roman"/>
          <w:b/>
          <w:sz w:val="28"/>
          <w:szCs w:val="28"/>
          <w:lang w:val="uk-UA"/>
        </w:rPr>
        <w:t>– 1 штука</w:t>
      </w:r>
      <w:r w:rsidR="00CA0E89" w:rsidRPr="004128FF">
        <w:rPr>
          <w:rFonts w:ascii="Times New Roman" w:hAnsi="Times New Roman"/>
          <w:b/>
          <w:sz w:val="28"/>
          <w:szCs w:val="28"/>
          <w:lang w:val="uk-UA"/>
        </w:rPr>
        <w:t>;</w:t>
      </w:r>
    </w:p>
    <w:p w14:paraId="225BAE3D" w14:textId="09DA3937" w:rsidR="00095577" w:rsidRPr="004128FF" w:rsidRDefault="00C41280">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w:t>
      </w:r>
      <w:r w:rsidR="00A06F72" w:rsidRPr="004128FF">
        <w:rPr>
          <w:rFonts w:ascii="Times New Roman" w:eastAsia="Times New Roman" w:hAnsi="Times New Roman"/>
          <w:b/>
          <w:bCs/>
          <w:spacing w:val="-4"/>
          <w:sz w:val="28"/>
          <w:szCs w:val="28"/>
          <w:lang w:eastAsia="ru-RU"/>
        </w:rPr>
        <w:t>2</w:t>
      </w:r>
    </w:p>
    <w:p w14:paraId="323814FB" w14:textId="5313B942"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4128FF">
        <w:rPr>
          <w:rFonts w:ascii="Times New Roman" w:eastAsia="Times New Roman" w:hAnsi="Times New Roman"/>
          <w:sz w:val="26"/>
          <w:szCs w:val="26"/>
          <w:lang w:eastAsia="ru-RU"/>
        </w:rPr>
        <w:t>с. Красносілка</w:t>
      </w:r>
      <w:r w:rsidRPr="004128FF">
        <w:rPr>
          <w:rFonts w:ascii="Times New Roman" w:eastAsia="Times New Roman" w:hAnsi="Times New Roman"/>
          <w:sz w:val="26"/>
          <w:szCs w:val="26"/>
          <w:lang w:eastAsia="ru-RU"/>
        </w:rPr>
        <w:t xml:space="preserve"> </w:t>
      </w:r>
    </w:p>
    <w:p w14:paraId="2C89AB37" w14:textId="3E68CB7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4128FF">
        <w:rPr>
          <w:rFonts w:ascii="Times New Roman" w:eastAsia="Times New Roman" w:hAnsi="Times New Roman"/>
          <w:sz w:val="26"/>
          <w:szCs w:val="26"/>
          <w:lang w:eastAsia="ru-RU"/>
        </w:rPr>
        <w:t>після</w:t>
      </w:r>
      <w:r w:rsidRPr="004128FF">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4128FF">
        <w:rPr>
          <w:rFonts w:ascii="Times New Roman" w:eastAsia="Times New Roman" w:hAnsi="Times New Roman"/>
          <w:sz w:val="26"/>
          <w:szCs w:val="26"/>
          <w:lang w:eastAsia="ru-RU"/>
        </w:rPr>
        <w:t>2</w:t>
      </w:r>
      <w:r w:rsidRPr="004128FF">
        <w:rPr>
          <w:rFonts w:ascii="Times New Roman" w:eastAsia="Times New Roman" w:hAnsi="Times New Roman"/>
          <w:sz w:val="26"/>
          <w:szCs w:val="26"/>
          <w:lang w:eastAsia="ru-RU"/>
        </w:rPr>
        <w:t xml:space="preserve">0 </w:t>
      </w:r>
      <w:r w:rsidR="0010002C" w:rsidRPr="004128FF">
        <w:rPr>
          <w:rFonts w:ascii="Times New Roman" w:eastAsia="Times New Roman" w:hAnsi="Times New Roman"/>
          <w:sz w:val="26"/>
          <w:szCs w:val="26"/>
          <w:lang w:eastAsia="ru-RU"/>
        </w:rPr>
        <w:t>робочих</w:t>
      </w:r>
      <w:r w:rsidRPr="004128FF">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07C8BA8"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0677F0" w14:textId="7C188130"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4128FF">
        <w:rPr>
          <w:rFonts w:ascii="Times New Roman" w:eastAsia="Times New Roman" w:hAnsi="Times New Roman"/>
          <w:sz w:val="26"/>
          <w:szCs w:val="26"/>
          <w:lang w:eastAsia="ru-RU"/>
        </w:rPr>
        <w:t>3</w:t>
      </w:r>
      <w:r w:rsidRPr="004128FF">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3.4. Строк поставки товарів, виконання робіт чи надання послуг:</w:t>
      </w:r>
      <w:r w:rsidR="005E31A5" w:rsidRPr="004128FF">
        <w:rPr>
          <w:rFonts w:ascii="Times New Roman" w:eastAsia="Times New Roman" w:hAnsi="Times New Roman"/>
          <w:sz w:val="26"/>
          <w:szCs w:val="26"/>
          <w:lang w:eastAsia="ru-RU"/>
        </w:rPr>
        <w:t xml:space="preserve"> </w:t>
      </w:r>
      <w:r w:rsidR="008617FE" w:rsidRPr="004128FF">
        <w:rPr>
          <w:rFonts w:ascii="Times New Roman" w:eastAsia="Times New Roman" w:hAnsi="Times New Roman"/>
          <w:b/>
          <w:sz w:val="26"/>
          <w:szCs w:val="26"/>
          <w:lang w:eastAsia="ru-RU"/>
        </w:rPr>
        <w:t>14</w:t>
      </w:r>
      <w:r w:rsidR="005E31A5" w:rsidRPr="004128FF">
        <w:rPr>
          <w:rFonts w:ascii="Times New Roman" w:eastAsia="Times New Roman" w:hAnsi="Times New Roman"/>
          <w:b/>
          <w:sz w:val="26"/>
          <w:szCs w:val="26"/>
          <w:lang w:eastAsia="ru-RU"/>
        </w:rPr>
        <w:t xml:space="preserve"> (</w:t>
      </w:r>
      <w:r w:rsidR="008617FE" w:rsidRPr="004128FF">
        <w:rPr>
          <w:rFonts w:ascii="Times New Roman" w:eastAsia="Times New Roman" w:hAnsi="Times New Roman"/>
          <w:b/>
          <w:sz w:val="26"/>
          <w:szCs w:val="26"/>
          <w:lang w:eastAsia="ru-RU"/>
        </w:rPr>
        <w:t>чотирнадцять</w:t>
      </w:r>
      <w:r w:rsidR="005E31A5" w:rsidRPr="004128FF">
        <w:rPr>
          <w:rFonts w:ascii="Times New Roman" w:eastAsia="Times New Roman" w:hAnsi="Times New Roman"/>
          <w:b/>
          <w:sz w:val="26"/>
          <w:szCs w:val="26"/>
          <w:lang w:eastAsia="ru-RU"/>
        </w:rPr>
        <w:t>)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36015C4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lastRenderedPageBreak/>
        <w:t>3. Копія паспорту та довідки про присвоєння ідентифікаційного коду (для фізичних осіб-підприємців).</w:t>
      </w:r>
    </w:p>
    <w:p w14:paraId="3E27D4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36904DCB"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9053E6F" w14:textId="77777777" w:rsidR="00694C80" w:rsidRPr="004128FF" w:rsidRDefault="00694C80" w:rsidP="00694C80">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3939126C" w14:textId="77777777" w:rsidR="00694C80" w:rsidRPr="004128FF" w:rsidRDefault="00694C80" w:rsidP="00694C80">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4128FF"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246A6677"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20E9B07C"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02442F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4128FF" w:rsidRDefault="00C41280">
      <w:pPr>
        <w:pStyle w:val="ab"/>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0DB94E6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901050F"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72BC2CD"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44DD0EB6"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6F8A26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4128FF" w:rsidRDefault="00095577">
      <w:pPr>
        <w:spacing w:after="160" w:line="259" w:lineRule="auto"/>
        <w:rPr>
          <w:rFonts w:ascii="Times New Roman" w:eastAsia="Times New Roman" w:hAnsi="Times New Roman"/>
          <w:sz w:val="26"/>
          <w:szCs w:val="26"/>
          <w:lang w:eastAsia="ru-RU"/>
        </w:rPr>
      </w:pPr>
    </w:p>
    <w:p w14:paraId="1C79E1F7" w14:textId="77777777" w:rsidR="00095577" w:rsidRPr="004128FF"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77554E1" w14:textId="54877213"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1</w:t>
      </w:r>
      <w:r w:rsidRPr="004128FF">
        <w:rPr>
          <w:rFonts w:ascii="Times New Roman" w:eastAsia="Times New Roman" w:hAnsi="Times New Roman"/>
          <w:sz w:val="26"/>
          <w:szCs w:val="26"/>
          <w:lang w:eastAsia="uk-UA"/>
        </w:rPr>
        <w:t xml:space="preserve"> – Цінова пропозиція.</w:t>
      </w:r>
    </w:p>
    <w:p w14:paraId="0B45FF2D" w14:textId="3257F957"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2</w:t>
      </w:r>
      <w:r w:rsidRPr="004128FF">
        <w:rPr>
          <w:rFonts w:ascii="Times New Roman" w:eastAsia="Times New Roman" w:hAnsi="Times New Roman"/>
          <w:sz w:val="26"/>
          <w:szCs w:val="26"/>
          <w:lang w:eastAsia="uk-UA"/>
        </w:rPr>
        <w:t xml:space="preserve"> – Технічні вимоги. </w:t>
      </w:r>
    </w:p>
    <w:p w14:paraId="175B271C" w14:textId="755AEC9D" w:rsidR="00095577" w:rsidRPr="004128FF"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w:t>
      </w:r>
      <w:r w:rsidR="0066687E" w:rsidRPr="004128FF">
        <w:rPr>
          <w:rFonts w:ascii="Times New Roman" w:eastAsia="Times New Roman" w:hAnsi="Times New Roman"/>
          <w:sz w:val="26"/>
          <w:szCs w:val="26"/>
          <w:lang w:eastAsia="uk-UA"/>
        </w:rPr>
        <w:t>3</w:t>
      </w:r>
      <w:r w:rsidRPr="004128FF">
        <w:rPr>
          <w:rFonts w:ascii="Times New Roman" w:eastAsia="Times New Roman" w:hAnsi="Times New Roman"/>
          <w:sz w:val="26"/>
          <w:szCs w:val="26"/>
          <w:lang w:eastAsia="uk-UA"/>
        </w:rPr>
        <w:t xml:space="preserve"> – Проект договору</w:t>
      </w:r>
      <w:r w:rsidRPr="004128FF">
        <w:rPr>
          <w:rFonts w:ascii="Times New Roman" w:eastAsia="Times New Roman" w:hAnsi="Times New Roman"/>
          <w:sz w:val="28"/>
          <w:szCs w:val="28"/>
          <w:lang w:eastAsia="uk-UA"/>
        </w:rPr>
        <w:t>.</w:t>
      </w:r>
    </w:p>
    <w:p w14:paraId="1EF814C5"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4128FF" w:rsidRDefault="00C41280">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743E79FE" w14:textId="74DEC501" w:rsidR="00095577" w:rsidRPr="004128FF"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w:t>
      </w:r>
      <w:r w:rsidR="008617FE" w:rsidRPr="004128FF">
        <w:rPr>
          <w:rFonts w:ascii="Times New Roman" w:hAnsi="Times New Roman"/>
          <w:sz w:val="28"/>
          <w:szCs w:val="28"/>
        </w:rPr>
        <w:t>3783</w:t>
      </w:r>
      <w:r w:rsidRPr="004128FF">
        <w:rPr>
          <w:rFonts w:ascii="Times New Roman" w:hAnsi="Times New Roman"/>
          <w:sz w:val="28"/>
          <w:szCs w:val="28"/>
        </w:rPr>
        <w:t xml:space="preserve">                                                                 </w:t>
      </w:r>
      <w:r w:rsidR="00D00BA7" w:rsidRPr="004128FF">
        <w:rPr>
          <w:rFonts w:ascii="Times New Roman" w:hAnsi="Times New Roman"/>
          <w:sz w:val="28"/>
          <w:szCs w:val="28"/>
        </w:rPr>
        <w:t xml:space="preserve">  </w:t>
      </w:r>
      <w:r w:rsidRPr="004128FF">
        <w:rPr>
          <w:rFonts w:ascii="Times New Roman" w:hAnsi="Times New Roman"/>
          <w:sz w:val="28"/>
          <w:szCs w:val="28"/>
        </w:rPr>
        <w:t xml:space="preserve">    </w:t>
      </w:r>
      <w:r w:rsidR="008617FE" w:rsidRPr="004128FF">
        <w:rPr>
          <w:rFonts w:ascii="Times New Roman" w:hAnsi="Times New Roman"/>
          <w:sz w:val="28"/>
          <w:szCs w:val="28"/>
        </w:rPr>
        <w:t>Дмитро ДЕСЮК</w:t>
      </w:r>
      <w:r w:rsidRPr="004128FF">
        <w:rPr>
          <w:sz w:val="28"/>
          <w:szCs w:val="28"/>
        </w:rPr>
        <w:br w:type="page"/>
      </w:r>
    </w:p>
    <w:p w14:paraId="1BDAF585" w14:textId="77777777" w:rsidR="00095577" w:rsidRPr="004128FF" w:rsidRDefault="00095577">
      <w:pPr>
        <w:spacing w:after="0" w:line="240" w:lineRule="auto"/>
        <w:ind w:left="6379"/>
        <w:jc w:val="right"/>
        <w:rPr>
          <w:rFonts w:ascii="Times New Roman" w:hAnsi="Times New Roman"/>
          <w:sz w:val="24"/>
          <w:szCs w:val="28"/>
        </w:rPr>
      </w:pPr>
    </w:p>
    <w:p w14:paraId="654C6609" w14:textId="5104030E" w:rsidR="00095577" w:rsidRPr="004128FF" w:rsidRDefault="00C41280">
      <w:pPr>
        <w:spacing w:line="240" w:lineRule="auto"/>
        <w:ind w:left="6946"/>
        <w:rPr>
          <w:rFonts w:ascii="Times New Roman" w:hAnsi="Times New Roman"/>
          <w:sz w:val="28"/>
          <w:szCs w:val="28"/>
        </w:rPr>
      </w:pPr>
      <w:r w:rsidRPr="004128FF">
        <w:rPr>
          <w:rFonts w:ascii="Times New Roman" w:hAnsi="Times New Roman"/>
          <w:sz w:val="24"/>
          <w:szCs w:val="28"/>
        </w:rPr>
        <w:t>Додаток №</w:t>
      </w:r>
      <w:r w:rsidR="0066687E" w:rsidRPr="004128FF">
        <w:rPr>
          <w:rFonts w:ascii="Times New Roman" w:hAnsi="Times New Roman"/>
          <w:sz w:val="24"/>
          <w:szCs w:val="28"/>
        </w:rPr>
        <w:t>1</w:t>
      </w:r>
      <w:r w:rsidRPr="004128FF">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EF34A07"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4128FF" w:rsidRDefault="00C41280">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1E58A947" w14:textId="77777777" w:rsidR="00095577" w:rsidRPr="004128FF" w:rsidRDefault="00C41280">
      <w:pPr>
        <w:pStyle w:val="ab"/>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4A62D778" w14:textId="77777777" w:rsidR="00095577" w:rsidRPr="004128FF" w:rsidRDefault="00C41280">
      <w:pPr>
        <w:pStyle w:val="ab"/>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4128FF"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4128FF"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w:t>
            </w:r>
          </w:p>
          <w:p w14:paraId="03458A8E"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4128FF" w:rsidRDefault="00077601">
            <w:pPr>
              <w:spacing w:after="0" w:line="240" w:lineRule="auto"/>
              <w:jc w:val="center"/>
              <w:textAlignment w:val="baseline"/>
              <w:rPr>
                <w:rFonts w:ascii="Times New Roman" w:hAnsi="Times New Roman"/>
                <w:b/>
                <w:kern w:val="2"/>
                <w:sz w:val="20"/>
                <w:szCs w:val="20"/>
              </w:rPr>
            </w:pPr>
            <w:proofErr w:type="spellStart"/>
            <w:r w:rsidRPr="004128FF">
              <w:rPr>
                <w:rFonts w:ascii="Times New Roman" w:hAnsi="Times New Roman"/>
                <w:b/>
                <w:kern w:val="2"/>
                <w:sz w:val="20"/>
                <w:szCs w:val="20"/>
              </w:rPr>
              <w:t>Од.вим</w:t>
            </w:r>
            <w:proofErr w:type="spellEnd"/>
            <w:r w:rsidRPr="004128FF">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4128FF" w:rsidRDefault="00077601">
            <w:pPr>
              <w:spacing w:after="0" w:line="240" w:lineRule="auto"/>
              <w:ind w:left="-68" w:right="-75"/>
              <w:jc w:val="center"/>
              <w:textAlignment w:val="baseline"/>
              <w:rPr>
                <w:rFonts w:ascii="Times New Roman" w:hAnsi="Times New Roman"/>
                <w:b/>
                <w:kern w:val="2"/>
                <w:sz w:val="20"/>
                <w:szCs w:val="20"/>
              </w:rPr>
            </w:pPr>
            <w:r w:rsidRPr="004128FF">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 xml:space="preserve">Сума, грн </w:t>
            </w:r>
          </w:p>
        </w:tc>
      </w:tr>
      <w:tr w:rsidR="00095577" w:rsidRPr="004128FF"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128F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4128FF"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4128FF"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4128FF"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4128FF" w:rsidRDefault="00095577">
            <w:pPr>
              <w:spacing w:after="0" w:line="240" w:lineRule="auto"/>
              <w:jc w:val="center"/>
              <w:rPr>
                <w:rFonts w:ascii="Times New Roman" w:hAnsi="Times New Roman"/>
                <w:b/>
                <w:sz w:val="20"/>
                <w:szCs w:val="20"/>
              </w:rPr>
            </w:pPr>
          </w:p>
        </w:tc>
      </w:tr>
      <w:tr w:rsidR="00095577" w:rsidRPr="004128FF"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 xml:space="preserve">Ціна товару </w:t>
            </w:r>
            <w:r w:rsidRPr="004128FF">
              <w:rPr>
                <w:rFonts w:ascii="Times New Roman" w:hAnsi="Times New Roman"/>
                <w:b/>
                <w:bCs/>
                <w:kern w:val="2"/>
                <w:sz w:val="20"/>
                <w:szCs w:val="20"/>
              </w:rPr>
              <w:t xml:space="preserve">з </w:t>
            </w:r>
            <w:r w:rsidRPr="004128FF">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4128FF" w:rsidRDefault="00095577">
            <w:pPr>
              <w:spacing w:after="0" w:line="240" w:lineRule="auto"/>
              <w:jc w:val="right"/>
              <w:rPr>
                <w:rFonts w:ascii="Times New Roman" w:hAnsi="Times New Roman"/>
                <w:b/>
                <w:sz w:val="20"/>
                <w:szCs w:val="20"/>
              </w:rPr>
            </w:pPr>
          </w:p>
        </w:tc>
      </w:tr>
    </w:tbl>
    <w:p w14:paraId="07B309B2" w14:textId="77777777" w:rsidR="00095577" w:rsidRPr="004128FF" w:rsidRDefault="00C41280">
      <w:pPr>
        <w:pStyle w:val="ab"/>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4128FF" w:rsidRDefault="00C41280">
      <w:pPr>
        <w:pStyle w:val="ab"/>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408F4AFC" w14:textId="77777777" w:rsidR="00095577" w:rsidRPr="004128FF" w:rsidRDefault="00C41280">
      <w:pPr>
        <w:pStyle w:val="ab"/>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4128FF" w:rsidRDefault="00C41280">
      <w:pPr>
        <w:pStyle w:val="ab"/>
        <w:spacing w:beforeAutospacing="0" w:after="0" w:afterAutospacing="0"/>
        <w:ind w:firstLine="709"/>
        <w:rPr>
          <w:i/>
          <w:color w:val="000000"/>
          <w:lang w:val="uk-UA"/>
        </w:rPr>
      </w:pPr>
      <w:r w:rsidRPr="004128FF">
        <w:rPr>
          <w:i/>
          <w:color w:val="000000"/>
          <w:lang w:val="uk-UA"/>
        </w:rPr>
        <w:t>(дата)</w:t>
      </w:r>
    </w:p>
    <w:p w14:paraId="2E12A01B" w14:textId="77777777" w:rsidR="00095577" w:rsidRPr="004128FF" w:rsidRDefault="00C41280">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1B94FEC2" w14:textId="77777777" w:rsidR="00496ECF" w:rsidRPr="004128FF" w:rsidRDefault="00496ECF">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4128FF" w:rsidRDefault="00496ECF">
      <w:pPr>
        <w:rPr>
          <w:rFonts w:ascii="Times New Roman" w:hAnsi="Times New Roman"/>
          <w:color w:val="000000"/>
          <w:sz w:val="24"/>
          <w:szCs w:val="24"/>
        </w:rPr>
      </w:pPr>
    </w:p>
    <w:p w14:paraId="568D7C45" w14:textId="77777777" w:rsidR="00496ECF" w:rsidRPr="004128FF" w:rsidRDefault="00496ECF">
      <w:pPr>
        <w:rPr>
          <w:rFonts w:ascii="Times New Roman" w:hAnsi="Times New Roman"/>
          <w:color w:val="000000"/>
          <w:sz w:val="24"/>
          <w:szCs w:val="24"/>
        </w:rPr>
      </w:pPr>
    </w:p>
    <w:p w14:paraId="0CE53531" w14:textId="77777777" w:rsidR="00095577" w:rsidRPr="004128FF" w:rsidRDefault="00C41280">
      <w:pPr>
        <w:pStyle w:val="ab"/>
        <w:spacing w:beforeAutospacing="0" w:after="0" w:afterAutospacing="0"/>
        <w:ind w:firstLine="709"/>
        <w:jc w:val="both"/>
        <w:rPr>
          <w:i/>
          <w:color w:val="000000"/>
          <w:szCs w:val="28"/>
          <w:lang w:val="uk-UA"/>
        </w:rPr>
      </w:pPr>
      <w:r w:rsidRPr="004128FF">
        <w:rPr>
          <w:lang w:val="uk-UA"/>
        </w:rPr>
        <w:br w:type="page"/>
      </w:r>
    </w:p>
    <w:p w14:paraId="50364F46" w14:textId="5BA9A897" w:rsidR="00095577" w:rsidRPr="004128FF" w:rsidRDefault="00C41280" w:rsidP="00AB3140">
      <w:pPr>
        <w:pStyle w:val="ab"/>
        <w:spacing w:beforeAutospacing="0" w:after="0" w:afterAutospacing="0"/>
        <w:ind w:left="5670" w:right="191"/>
        <w:rPr>
          <w:b/>
          <w:sz w:val="28"/>
          <w:szCs w:val="28"/>
          <w:highlight w:val="yellow"/>
          <w:lang w:val="uk-UA"/>
        </w:rPr>
      </w:pPr>
      <w:r w:rsidRPr="004128FF">
        <w:rPr>
          <w:szCs w:val="28"/>
          <w:lang w:val="uk-UA"/>
        </w:rPr>
        <w:lastRenderedPageBreak/>
        <w:t>Додаток №</w:t>
      </w:r>
      <w:r w:rsidR="0066687E" w:rsidRPr="004128FF">
        <w:rPr>
          <w:szCs w:val="28"/>
          <w:lang w:val="uk-UA"/>
        </w:rPr>
        <w:t>2</w:t>
      </w:r>
      <w:r w:rsidRPr="004128FF">
        <w:rPr>
          <w:szCs w:val="28"/>
          <w:lang w:val="uk-UA"/>
        </w:rPr>
        <w:t xml:space="preserve">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6DC0673E" w14:textId="77777777" w:rsidR="00496ECF" w:rsidRPr="004128F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4128FF"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ТЕХНІЧНІ ВИМОГИ</w:t>
      </w:r>
      <w:r w:rsidR="00496ECF" w:rsidRPr="004128FF">
        <w:rPr>
          <w:rFonts w:ascii="Times New Roman" w:hAnsi="Times New Roman"/>
          <w:b/>
          <w:iCs/>
          <w:sz w:val="28"/>
          <w:szCs w:val="28"/>
          <w:lang w:eastAsia="ru-RU"/>
        </w:rPr>
        <w:t xml:space="preserve"> </w:t>
      </w:r>
    </w:p>
    <w:p w14:paraId="2C6FDDB6" w14:textId="5A9952A0" w:rsidR="00885245" w:rsidRPr="004128FF"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143CB1E" w:rsidR="00CA0E89" w:rsidRPr="004128FF" w:rsidRDefault="009E128C" w:rsidP="00CA0E89">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sidR="0045672A">
        <w:rPr>
          <w:rFonts w:ascii="Times New Roman" w:hAnsi="Times New Roman"/>
          <w:b/>
          <w:sz w:val="28"/>
          <w:szCs w:val="28"/>
        </w:rPr>
        <w:t xml:space="preserve">Гідроциліндр підйому стріли (13.6150.000) </w:t>
      </w:r>
      <w:r w:rsidR="00A060CE">
        <w:rPr>
          <w:rFonts w:ascii="Times New Roman" w:hAnsi="Times New Roman"/>
          <w:b/>
          <w:sz w:val="28"/>
          <w:szCs w:val="28"/>
        </w:rPr>
        <w:t xml:space="preserve">ЕО </w:t>
      </w:r>
      <w:r w:rsidR="00D91575">
        <w:rPr>
          <w:rFonts w:ascii="Times New Roman" w:hAnsi="Times New Roman"/>
          <w:b/>
          <w:sz w:val="28"/>
          <w:szCs w:val="28"/>
        </w:rPr>
        <w:t>–</w:t>
      </w:r>
      <w:r w:rsidR="00A060CE">
        <w:rPr>
          <w:rFonts w:ascii="Times New Roman" w:hAnsi="Times New Roman"/>
          <w:b/>
          <w:sz w:val="28"/>
          <w:szCs w:val="28"/>
        </w:rPr>
        <w:t xml:space="preserve"> 2621</w:t>
      </w:r>
      <w:r w:rsidR="00D91575">
        <w:rPr>
          <w:rFonts w:ascii="Times New Roman" w:hAnsi="Times New Roman"/>
          <w:b/>
          <w:sz w:val="28"/>
          <w:szCs w:val="28"/>
        </w:rPr>
        <w:t xml:space="preserve"> або еквівалент</w:t>
      </w:r>
      <w:r w:rsidR="0045672A">
        <w:rPr>
          <w:rFonts w:ascii="Times New Roman" w:hAnsi="Times New Roman"/>
          <w:b/>
          <w:sz w:val="28"/>
          <w:szCs w:val="28"/>
        </w:rPr>
        <w:t>– 1 штука</w:t>
      </w:r>
      <w:r w:rsidR="00CA0E89" w:rsidRPr="004128FF">
        <w:rPr>
          <w:rFonts w:ascii="Times New Roman" w:hAnsi="Times New Roman"/>
          <w:b/>
          <w:sz w:val="28"/>
          <w:szCs w:val="28"/>
        </w:rPr>
        <w:t>.</w:t>
      </w:r>
    </w:p>
    <w:p w14:paraId="4020DDD1" w14:textId="263D4830" w:rsidR="00AF17C6"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Гідроциліндр підйому стріли ЕО – 2621В-3, - 2626, -2628, -2629, ТО-49</w:t>
      </w:r>
      <w:r w:rsidR="00AF17C6" w:rsidRPr="004128FF">
        <w:rPr>
          <w:rFonts w:ascii="Times New Roman" w:hAnsi="Times New Roman"/>
          <w:bCs/>
          <w:sz w:val="28"/>
          <w:szCs w:val="28"/>
          <w:lang w:val="uk-UA" w:eastAsia="uk-UA"/>
        </w:rPr>
        <w:t>.</w:t>
      </w:r>
    </w:p>
    <w:p w14:paraId="66C5A248" w14:textId="1537166A"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гільзи (поршня) – 110  мм;</w:t>
      </w:r>
    </w:p>
    <w:p w14:paraId="6FFA5EAC" w14:textId="53FAFB98"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штока – 55 мм;</w:t>
      </w:r>
    </w:p>
    <w:p w14:paraId="5A33FAA1" w14:textId="49FE60B6" w:rsidR="00A060CE" w:rsidRDefault="00A060CE"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Хід поршня – 1120 мм;</w:t>
      </w:r>
    </w:p>
    <w:p w14:paraId="4C554BF3" w14:textId="1C14DED5" w:rsidR="00217EC1" w:rsidRPr="00A060CE" w:rsidRDefault="00217EC1"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Відповідність номеру каталогу ЦГ-100.56х1120.11,каталоговий номер інших виробників: МС 110/56х1120-3.11(1520), ЦС 110.55.1120 або 110х55х1120, ГЦ 110.55х1120.01, Ц 110х1120-3.</w:t>
      </w:r>
    </w:p>
    <w:p w14:paraId="1C00B97D" w14:textId="47EA81F4" w:rsidR="00AF17C6" w:rsidRPr="004128FF"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4128FF" w:rsidRDefault="00B85411" w:rsidP="00B85411">
      <w:pPr>
        <w:widowControl w:val="0"/>
        <w:spacing w:after="0" w:line="259" w:lineRule="auto"/>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7227DF9C" w14:textId="77777777" w:rsidR="0060477C" w:rsidRPr="004128FF"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4128FF" w:rsidRDefault="0060477C" w:rsidP="0060477C">
      <w:pPr>
        <w:spacing w:after="0" w:line="259" w:lineRule="auto"/>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 xml:space="preserve">становить </w:t>
      </w:r>
      <w:r w:rsidR="001A431F" w:rsidRPr="004128FF">
        <w:rPr>
          <w:rFonts w:ascii="Times New Roman" w:eastAsia="MS Mincho" w:hAnsi="Times New Roman"/>
          <w:sz w:val="24"/>
          <w:szCs w:val="24"/>
        </w:rPr>
        <w:t>12</w:t>
      </w:r>
      <w:r w:rsidRPr="004128FF">
        <w:rPr>
          <w:rFonts w:ascii="Times New Roman" w:eastAsia="MS Mincho" w:hAnsi="Times New Roman"/>
          <w:sz w:val="24"/>
          <w:szCs w:val="24"/>
        </w:rPr>
        <w:t xml:space="preserve">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3D94984A" w14:textId="3BA593F9" w:rsidR="00B85411" w:rsidRPr="004128FF" w:rsidRDefault="0060477C" w:rsidP="001376DE">
      <w:pPr>
        <w:spacing w:after="0" w:line="259" w:lineRule="auto"/>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00B85411"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w:t>
      </w:r>
      <w:r w:rsidRPr="004128FF">
        <w:rPr>
          <w:rFonts w:ascii="Times New Roman" w:eastAsia="Times New Roman" w:hAnsi="Times New Roman"/>
          <w:bCs/>
          <w:sz w:val="24"/>
          <w:szCs w:val="24"/>
          <w:lang w:eastAsia="ru-RU"/>
        </w:rPr>
        <w:lastRenderedPageBreak/>
        <w:t>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w:t>
      </w:r>
      <w:r w:rsidR="005D5711" w:rsidRPr="004128FF">
        <w:rPr>
          <w:rFonts w:ascii="Times New Roman" w:eastAsia="Times New Roman" w:hAnsi="Times New Roman"/>
          <w:bCs/>
          <w:sz w:val="24"/>
          <w:szCs w:val="24"/>
          <w:lang w:eastAsia="ru-RU"/>
        </w:rPr>
        <w:t>.</w:t>
      </w:r>
      <w:r w:rsidRPr="004128FF">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30A67127" w14:textId="77777777" w:rsidR="00217EC1" w:rsidRPr="004128FF" w:rsidRDefault="00217EC1"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4128FF" w:rsidRDefault="001A431F" w:rsidP="001A431F">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611F5B03" w14:textId="77777777" w:rsidR="001A431F" w:rsidRPr="004128FF"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4128FF"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w:t>
      </w:r>
      <w:r w:rsidR="001A431F" w:rsidRPr="004128FF">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4128F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71947B2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8460B8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6235B520"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4128FF" w:rsidRDefault="001A431F" w:rsidP="001A431F">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6D87635D" w14:textId="77777777" w:rsidR="001A431F" w:rsidRPr="004128FF"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457C3F7"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4128FF"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00436CBB" w14:textId="042E029C" w:rsidR="001A431F" w:rsidRPr="004128FF"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00567A46"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w:t>
      </w:r>
      <w:r w:rsidR="00567A46" w:rsidRPr="004128FF">
        <w:rPr>
          <w:rFonts w:ascii="Times New Roman" w:hAnsi="Times New Roman"/>
          <w:b/>
          <w:sz w:val="24"/>
          <w:szCs w:val="24"/>
        </w:rPr>
        <w:t>____________</w:t>
      </w:r>
      <w:r w:rsidRPr="004128FF">
        <w:rPr>
          <w:rFonts w:ascii="Times New Roman" w:hAnsi="Times New Roman"/>
          <w:b/>
          <w:sz w:val="24"/>
          <w:szCs w:val="24"/>
        </w:rPr>
        <w:t>)</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35AF006D" w14:textId="77777777" w:rsidR="001A431F" w:rsidRPr="004128FF"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62672D0D"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47D9C12"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29A9DF65" w14:textId="77777777" w:rsidR="001A431F" w:rsidRPr="004128F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4128FF"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68CD96E4" w14:textId="77777777" w:rsidR="001A431F" w:rsidRPr="004128FF" w:rsidRDefault="001A431F" w:rsidP="001A431F">
      <w:pPr>
        <w:spacing w:after="0" w:line="240" w:lineRule="auto"/>
        <w:ind w:right="-36"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3.1. Ціна на Товар встановлюється в національній валюті України — гривні. </w:t>
      </w:r>
      <w:r w:rsidRPr="004128FF">
        <w:rPr>
          <w:rFonts w:ascii="Times New Roman" w:eastAsia="Times New Roman" w:hAnsi="Times New Roman"/>
          <w:sz w:val="24"/>
          <w:szCs w:val="24"/>
          <w:lang w:eastAsia="ru-RU"/>
        </w:rPr>
        <w:t>Ціна на Товар</w:t>
      </w:r>
      <w:r w:rsidRPr="004128FF">
        <w:rPr>
          <w:rFonts w:ascii="Times New Roman" w:eastAsia="Times New Roman" w:hAnsi="Times New Roman"/>
          <w:i/>
          <w:sz w:val="24"/>
          <w:szCs w:val="24"/>
          <w:lang w:eastAsia="ru-RU"/>
        </w:rPr>
        <w:t xml:space="preserve"> </w:t>
      </w:r>
      <w:r w:rsidRPr="004128FF">
        <w:rPr>
          <w:rFonts w:ascii="Times New Roman" w:eastAsia="Times New Roman" w:hAnsi="Times New Roman"/>
          <w:iCs/>
          <w:sz w:val="24"/>
          <w:szCs w:val="24"/>
          <w:lang w:eastAsia="ru-RU"/>
        </w:rPr>
        <w:t>складається з вартості</w:t>
      </w:r>
      <w:r w:rsidRPr="004128FF">
        <w:rPr>
          <w:rFonts w:ascii="Times New Roman" w:eastAsia="Times New Roman" w:hAnsi="Times New Roman"/>
          <w:i/>
          <w:iCs/>
          <w:sz w:val="24"/>
          <w:szCs w:val="24"/>
          <w:lang w:eastAsia="ru-RU"/>
        </w:rPr>
        <w:t xml:space="preserve"> </w:t>
      </w:r>
      <w:r w:rsidRPr="004128FF">
        <w:rPr>
          <w:rFonts w:ascii="Times New Roman" w:eastAsia="Times New Roman" w:hAnsi="Times New Roman"/>
          <w:iCs/>
          <w:sz w:val="24"/>
          <w:szCs w:val="24"/>
          <w:lang w:eastAsia="ru-RU"/>
        </w:rPr>
        <w:t>Товару, податків та зборів</w:t>
      </w:r>
      <w:r w:rsidRPr="004128FF">
        <w:rPr>
          <w:rFonts w:ascii="Times New Roman" w:eastAsia="Times New Roman" w:hAnsi="Times New Roman"/>
          <w:sz w:val="24"/>
          <w:szCs w:val="24"/>
          <w:lang w:eastAsia="ru-RU"/>
        </w:rPr>
        <w:t xml:space="preserve">, пов’язаних з поставкою </w:t>
      </w:r>
      <w:r w:rsidRPr="004128FF">
        <w:rPr>
          <w:rFonts w:ascii="Times New Roman" w:eastAsia="Times New Roman" w:hAnsi="Times New Roman"/>
          <w:iCs/>
          <w:sz w:val="24"/>
          <w:szCs w:val="24"/>
          <w:lang w:eastAsia="ru-RU"/>
        </w:rPr>
        <w:t>Товару.</w:t>
      </w:r>
    </w:p>
    <w:p w14:paraId="3222A1FD" w14:textId="77777777" w:rsidR="001A431F" w:rsidRPr="004128FF" w:rsidRDefault="001A431F" w:rsidP="001A431F">
      <w:pPr>
        <w:pStyle w:val="Iauiue1"/>
        <w:tabs>
          <w:tab w:val="left" w:pos="540"/>
        </w:tabs>
        <w:spacing w:line="26" w:lineRule="atLeast"/>
        <w:ind w:firstLine="567"/>
        <w:jc w:val="both"/>
        <w:rPr>
          <w:b/>
          <w:bCs/>
          <w:color w:val="212121"/>
          <w:sz w:val="24"/>
          <w:szCs w:val="24"/>
          <w:lang w:val="uk-UA"/>
        </w:rPr>
      </w:pPr>
      <w:r w:rsidRPr="004128FF">
        <w:rPr>
          <w:color w:val="auto"/>
          <w:sz w:val="24"/>
          <w:szCs w:val="24"/>
          <w:lang w:val="uk-UA"/>
        </w:rPr>
        <w:t xml:space="preserve">3.2. </w:t>
      </w:r>
      <w:r w:rsidRPr="004128FF">
        <w:rPr>
          <w:color w:val="auto"/>
          <w:sz w:val="24"/>
          <w:szCs w:val="24"/>
          <w:lang w:val="uk-UA" w:eastAsia="uk-UA"/>
        </w:rPr>
        <w:t>Загальна сума Договору складає</w:t>
      </w:r>
      <w:r w:rsidRPr="004128FF">
        <w:rPr>
          <w:color w:val="212121"/>
          <w:sz w:val="24"/>
          <w:szCs w:val="24"/>
          <w:lang w:val="uk-UA"/>
        </w:rPr>
        <w:t xml:space="preserve">: ____________ грн. ______коп. </w:t>
      </w:r>
      <w:r w:rsidRPr="004128FF">
        <w:rPr>
          <w:color w:val="auto"/>
          <w:sz w:val="24"/>
          <w:szCs w:val="24"/>
          <w:lang w:val="uk-UA"/>
        </w:rPr>
        <w:t xml:space="preserve">(_______________________________________________________), в </w:t>
      </w:r>
      <w:r w:rsidRPr="004128FF">
        <w:rPr>
          <w:color w:val="212121"/>
          <w:sz w:val="24"/>
          <w:szCs w:val="24"/>
          <w:lang w:val="uk-UA"/>
        </w:rPr>
        <w:t>тому числі ПДВ: _____________ грн. ________ коп. (_____________________________________________).</w:t>
      </w:r>
    </w:p>
    <w:p w14:paraId="75AD35BB" w14:textId="77777777" w:rsidR="001A431F" w:rsidRPr="004128FF"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10F34A70"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4128FF"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7FBE2A18"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4128FF">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5B1AEC9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32F3E7A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520BAAD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24A6EA6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4128FF" w:rsidRDefault="001A431F" w:rsidP="001A431F">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0A28AFD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4533E4C9"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2DCC6B6" w14:textId="77777777" w:rsidR="001A431F" w:rsidRPr="004128FF"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1AC0303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42FDBE59" w14:textId="77777777" w:rsidR="001A431F" w:rsidRPr="004128FF"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4128FF">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67B9F5E"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4128FF" w:rsidRDefault="001A431F" w:rsidP="001A431F">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4128FF" w:rsidRDefault="001A431F" w:rsidP="001A431F">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374920C1"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6F8C8B7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5A91447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3581038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4128FF" w:rsidRDefault="001A431F" w:rsidP="001A431F">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69C2439E" w14:textId="77777777" w:rsidR="001A431F" w:rsidRPr="004128FF" w:rsidRDefault="001A431F" w:rsidP="001A431F">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2B2997A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5D2BFC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3CD9C8B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09F5A99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1F65A944"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7B819DA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4128FF"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4128FF">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4128FF">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5251527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4128FF"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6350D93E"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4128FF">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4128FF" w:rsidRDefault="001A431F" w:rsidP="001A431F">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4777C64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5FD3F86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1EE58F8"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0FD8071A"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D951E39"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0CB5703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4128FF" w:rsidRDefault="001A431F" w:rsidP="001A431F">
      <w:pPr>
        <w:spacing w:after="0" w:line="240" w:lineRule="auto"/>
        <w:ind w:firstLine="708"/>
        <w:jc w:val="both"/>
        <w:rPr>
          <w:rFonts w:ascii="Times New Roman" w:hAnsi="Times New Roman"/>
          <w:sz w:val="24"/>
          <w:szCs w:val="24"/>
        </w:rPr>
      </w:pPr>
    </w:p>
    <w:p w14:paraId="35744A02"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4947ED4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0D7194FE"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96D7ED5"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8A791CF"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746A87E3" w14:textId="77777777" w:rsidR="001A431F" w:rsidRPr="004128FF"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4128FF" w14:paraId="737C2E89" w14:textId="77777777" w:rsidTr="00731BC6">
        <w:tc>
          <w:tcPr>
            <w:tcW w:w="5225" w:type="dxa"/>
            <w:hideMark/>
          </w:tcPr>
          <w:p w14:paraId="35EC0E9E" w14:textId="77777777" w:rsidR="001A431F" w:rsidRPr="004128FF" w:rsidRDefault="001A431F"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4128FF" w:rsidRDefault="001A431F"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1A431F" w:rsidRPr="004128FF" w14:paraId="2B0FB8FF" w14:textId="77777777" w:rsidTr="00731BC6">
        <w:trPr>
          <w:trHeight w:val="547"/>
        </w:trPr>
        <w:tc>
          <w:tcPr>
            <w:tcW w:w="5225" w:type="dxa"/>
          </w:tcPr>
          <w:p w14:paraId="7E1228FD"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BB6F6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6AE18F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FFF8A74"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96F40C2"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C142A4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A75498"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64FA6C"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24A5CDD"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4B1E7FC"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17BBEE6"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4128FF" w14:paraId="0059566E" w14:textId="77777777" w:rsidTr="00731BC6">
              <w:trPr>
                <w:trHeight w:val="547"/>
              </w:trPr>
              <w:tc>
                <w:tcPr>
                  <w:tcW w:w="4941" w:type="dxa"/>
                </w:tcPr>
                <w:p w14:paraId="13575F44"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EE61C9"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692A2AB1"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1B4BDDE"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DE4A0E6"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FD7AB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5587153"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0D00709F"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E5D6E8"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A3B3E69"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C56FA9"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E5557A1" w14:textId="77777777" w:rsidR="001A431F" w:rsidRPr="004128FF" w:rsidRDefault="001A431F" w:rsidP="00731BC6">
            <w:pPr>
              <w:spacing w:line="240" w:lineRule="auto"/>
              <w:rPr>
                <w:rFonts w:ascii="Times New Roman" w:eastAsia="Times New Roman" w:hAnsi="Times New Roman"/>
                <w:sz w:val="24"/>
                <w:szCs w:val="24"/>
              </w:rPr>
            </w:pPr>
          </w:p>
        </w:tc>
      </w:tr>
    </w:tbl>
    <w:p w14:paraId="1538DA18" w14:textId="77777777" w:rsidR="001A431F" w:rsidRPr="004128FF" w:rsidRDefault="001A431F" w:rsidP="001A431F">
      <w:pPr>
        <w:spacing w:after="0" w:line="240" w:lineRule="auto"/>
        <w:rPr>
          <w:rFonts w:ascii="Times New Roman" w:hAnsi="Times New Roman"/>
          <w:sz w:val="24"/>
          <w:szCs w:val="24"/>
        </w:rPr>
      </w:pPr>
    </w:p>
    <w:p w14:paraId="41137AD3" w14:textId="77777777" w:rsidR="001A431F" w:rsidRPr="004128FF" w:rsidRDefault="001A431F" w:rsidP="001A431F"/>
    <w:p w14:paraId="01F5A21B" w14:textId="4758A92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4128FF" w:rsidRDefault="00C37D09"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w:t>
      </w:r>
      <w:r w:rsidR="006335BC" w:rsidRPr="004128FF">
        <w:rPr>
          <w:rFonts w:ascii="Times New Roman" w:eastAsia="Times New Roman" w:hAnsi="Times New Roman"/>
          <w:sz w:val="24"/>
          <w:szCs w:val="24"/>
          <w:lang w:eastAsia="ru-RU"/>
        </w:rPr>
        <w:t>Додаток № 1</w:t>
      </w:r>
    </w:p>
    <w:p w14:paraId="5A746CDE"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3F815D6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0E95A0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33003C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4128FF" w:rsidRDefault="006335BC" w:rsidP="006335BC">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4CF84937"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4128FF" w14:paraId="202E338A" w14:textId="77777777" w:rsidTr="00731BC6">
        <w:tc>
          <w:tcPr>
            <w:tcW w:w="560" w:type="dxa"/>
          </w:tcPr>
          <w:p w14:paraId="6C1D97F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b/>
                <w:lang w:eastAsia="ru-RU"/>
              </w:rPr>
              <w:t>№ п/п</w:t>
            </w:r>
          </w:p>
        </w:tc>
        <w:tc>
          <w:tcPr>
            <w:tcW w:w="3092" w:type="dxa"/>
          </w:tcPr>
          <w:p w14:paraId="465B1E5E"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Найменування товару</w:t>
            </w:r>
          </w:p>
        </w:tc>
        <w:tc>
          <w:tcPr>
            <w:tcW w:w="1134" w:type="dxa"/>
          </w:tcPr>
          <w:p w14:paraId="30A8D4F1"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Одиниця виміру</w:t>
            </w:r>
          </w:p>
        </w:tc>
        <w:tc>
          <w:tcPr>
            <w:tcW w:w="1276" w:type="dxa"/>
          </w:tcPr>
          <w:p w14:paraId="57FDDE6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Кількість</w:t>
            </w:r>
          </w:p>
        </w:tc>
        <w:tc>
          <w:tcPr>
            <w:tcW w:w="1843" w:type="dxa"/>
          </w:tcPr>
          <w:p w14:paraId="41498F0D"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Ціна за одиницю, грн. (з ПДВ)</w:t>
            </w:r>
          </w:p>
        </w:tc>
        <w:tc>
          <w:tcPr>
            <w:tcW w:w="2103" w:type="dxa"/>
          </w:tcPr>
          <w:p w14:paraId="3E01AEB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 xml:space="preserve">Загальна вартість грн. </w:t>
            </w:r>
          </w:p>
          <w:p w14:paraId="61980615"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(з ПДВ)</w:t>
            </w:r>
          </w:p>
        </w:tc>
      </w:tr>
      <w:tr w:rsidR="006335BC" w:rsidRPr="004128FF" w14:paraId="71B7A705" w14:textId="77777777" w:rsidTr="00731BC6">
        <w:trPr>
          <w:trHeight w:val="251"/>
        </w:trPr>
        <w:tc>
          <w:tcPr>
            <w:tcW w:w="560" w:type="dxa"/>
          </w:tcPr>
          <w:p w14:paraId="277BFBCB"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1</w:t>
            </w:r>
          </w:p>
        </w:tc>
        <w:tc>
          <w:tcPr>
            <w:tcW w:w="3092" w:type="dxa"/>
          </w:tcPr>
          <w:p w14:paraId="5A77593C"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3E36DA8E"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0A78C806" w14:textId="77777777" w:rsidTr="00731BC6">
        <w:trPr>
          <w:trHeight w:val="251"/>
        </w:trPr>
        <w:tc>
          <w:tcPr>
            <w:tcW w:w="560" w:type="dxa"/>
          </w:tcPr>
          <w:p w14:paraId="2D8F5285"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2</w:t>
            </w:r>
          </w:p>
        </w:tc>
        <w:tc>
          <w:tcPr>
            <w:tcW w:w="3092" w:type="dxa"/>
          </w:tcPr>
          <w:p w14:paraId="6E5D7AC6"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003AC88C"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304B05E6" w14:textId="77777777" w:rsidTr="00731BC6">
        <w:tc>
          <w:tcPr>
            <w:tcW w:w="7905" w:type="dxa"/>
            <w:gridSpan w:val="5"/>
          </w:tcPr>
          <w:p w14:paraId="569E33DE" w14:textId="77777777" w:rsidR="006335BC" w:rsidRPr="004128FF" w:rsidRDefault="006335BC" w:rsidP="00731BC6">
            <w:pPr>
              <w:spacing w:after="0" w:line="240" w:lineRule="auto"/>
              <w:jc w:val="right"/>
              <w:rPr>
                <w:rFonts w:ascii="Times New Roman" w:eastAsia="Times New Roman" w:hAnsi="Times New Roman"/>
                <w:b/>
                <w:lang w:eastAsia="ru-RU"/>
              </w:rPr>
            </w:pPr>
            <w:r w:rsidRPr="004128FF">
              <w:rPr>
                <w:rFonts w:ascii="Times New Roman" w:eastAsia="Times New Roman" w:hAnsi="Times New Roman"/>
                <w:lang w:eastAsia="ru-RU"/>
              </w:rPr>
              <w:t xml:space="preserve">                                                           </w:t>
            </w:r>
            <w:r w:rsidRPr="004128FF">
              <w:rPr>
                <w:rFonts w:ascii="Times New Roman" w:eastAsia="Times New Roman" w:hAnsi="Times New Roman"/>
                <w:b/>
                <w:lang w:eastAsia="ru-RU"/>
              </w:rPr>
              <w:t>Всього з ПДВ:</w:t>
            </w:r>
          </w:p>
        </w:tc>
        <w:tc>
          <w:tcPr>
            <w:tcW w:w="2103" w:type="dxa"/>
          </w:tcPr>
          <w:p w14:paraId="0E38B381" w14:textId="77777777" w:rsidR="006335BC" w:rsidRPr="004128FF" w:rsidRDefault="006335BC" w:rsidP="00731BC6">
            <w:pPr>
              <w:spacing w:after="0" w:line="240" w:lineRule="auto"/>
              <w:jc w:val="center"/>
              <w:rPr>
                <w:rFonts w:ascii="Times New Roman" w:eastAsia="Times New Roman" w:hAnsi="Times New Roman"/>
                <w:b/>
                <w:lang w:eastAsia="ru-RU"/>
              </w:rPr>
            </w:pPr>
          </w:p>
        </w:tc>
      </w:tr>
      <w:tr w:rsidR="006335BC" w:rsidRPr="004128FF" w14:paraId="04C606C1" w14:textId="77777777" w:rsidTr="00731BC6">
        <w:trPr>
          <w:trHeight w:val="228"/>
        </w:trPr>
        <w:tc>
          <w:tcPr>
            <w:tcW w:w="7905" w:type="dxa"/>
            <w:gridSpan w:val="5"/>
          </w:tcPr>
          <w:p w14:paraId="492E1E9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lang w:eastAsia="ru-RU"/>
              </w:rPr>
              <w:t xml:space="preserve">                                                                                                          В тому числі </w:t>
            </w:r>
            <w:r w:rsidRPr="004128FF">
              <w:rPr>
                <w:rFonts w:ascii="Times New Roman" w:eastAsia="Times New Roman" w:hAnsi="Times New Roman"/>
                <w:b/>
                <w:lang w:eastAsia="ru-RU"/>
              </w:rPr>
              <w:t>ПДВ:</w:t>
            </w:r>
          </w:p>
        </w:tc>
        <w:tc>
          <w:tcPr>
            <w:tcW w:w="2103" w:type="dxa"/>
          </w:tcPr>
          <w:p w14:paraId="0957B4F6" w14:textId="77777777" w:rsidR="006335BC" w:rsidRPr="004128FF"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4128FF">
        <w:rPr>
          <w:rFonts w:ascii="Times New Roman" w:eastAsia="Times New Roman" w:hAnsi="Times New Roman"/>
          <w:bCs/>
          <w:i/>
          <w:sz w:val="24"/>
          <w:szCs w:val="24"/>
          <w:lang w:eastAsia="ru-RU"/>
        </w:rPr>
        <w:t xml:space="preserve">Загальна сума складає: </w:t>
      </w:r>
      <w:r w:rsidRPr="004128FF">
        <w:rPr>
          <w:rFonts w:ascii="Times New Roman" w:eastAsia="Times New Roman" w:hAnsi="Times New Roman"/>
          <w:b/>
          <w:bCs/>
          <w:i/>
          <w:sz w:val="24"/>
          <w:szCs w:val="24"/>
          <w:lang w:eastAsia="ru-RU"/>
        </w:rPr>
        <w:t>________грн. ____ коп. (_______________________ грн. ____ коп.)</w:t>
      </w:r>
      <w:r w:rsidRPr="004128FF">
        <w:rPr>
          <w:rFonts w:ascii="Times New Roman" w:eastAsia="Times New Roman" w:hAnsi="Times New Roman"/>
          <w:bCs/>
          <w:i/>
          <w:sz w:val="24"/>
          <w:szCs w:val="24"/>
          <w:lang w:eastAsia="ru-RU"/>
        </w:rPr>
        <w:t xml:space="preserve">,  в тому числі ПДВ: </w:t>
      </w:r>
      <w:r w:rsidRPr="004128FF">
        <w:rPr>
          <w:rFonts w:ascii="Times New Roman" w:eastAsia="Times New Roman" w:hAnsi="Times New Roman"/>
          <w:b/>
          <w:bCs/>
          <w:i/>
          <w:sz w:val="24"/>
          <w:szCs w:val="24"/>
          <w:lang w:eastAsia="ru-RU"/>
        </w:rPr>
        <w:t>_____ грн. ___коп. ( ______ грн. ____коп.).</w:t>
      </w:r>
    </w:p>
    <w:p w14:paraId="13EA1E57"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36AED641" w14:textId="77777777" w:rsidTr="00731BC6">
        <w:tc>
          <w:tcPr>
            <w:tcW w:w="5225" w:type="dxa"/>
            <w:hideMark/>
          </w:tcPr>
          <w:p w14:paraId="229D2C3C" w14:textId="77777777" w:rsidR="006335BC" w:rsidRPr="004128FF" w:rsidRDefault="006335BC" w:rsidP="00731BC6">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209A2912" w14:textId="77777777" w:rsidTr="00731BC6">
        <w:trPr>
          <w:trHeight w:val="547"/>
        </w:trPr>
        <w:tc>
          <w:tcPr>
            <w:tcW w:w="5225" w:type="dxa"/>
          </w:tcPr>
          <w:p w14:paraId="6C5E5BB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7AF2A0F3"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915802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8E1B447"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CDE16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4D35E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B1A116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21A432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94E721"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191F735"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A2CF825"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3BF9DB25" w14:textId="77777777" w:rsidTr="00731BC6">
              <w:trPr>
                <w:trHeight w:val="547"/>
              </w:trPr>
              <w:tc>
                <w:tcPr>
                  <w:tcW w:w="4941" w:type="dxa"/>
                </w:tcPr>
                <w:p w14:paraId="5A38A1B2"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9A005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1B12194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2060308E"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5336BD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0BBD531"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EE8F5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FDF4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9747B59"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33E3F039"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231CFB3"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590177" w14:textId="77777777" w:rsidR="006335BC" w:rsidRPr="004128FF"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4128FF" w:rsidRDefault="006335BC" w:rsidP="006335BC">
      <w:pPr>
        <w:contextualSpacing/>
        <w:jc w:val="right"/>
        <w:rPr>
          <w:rFonts w:ascii="Times New Roman" w:hAnsi="Times New Roman"/>
          <w:b/>
          <w:bCs/>
          <w:sz w:val="24"/>
          <w:szCs w:val="24"/>
        </w:rPr>
      </w:pPr>
    </w:p>
    <w:p w14:paraId="3997246F" w14:textId="77777777" w:rsidR="006335BC" w:rsidRPr="004128FF" w:rsidRDefault="006335BC" w:rsidP="006335BC">
      <w:pPr>
        <w:rPr>
          <w:rFonts w:ascii="Times New Roman" w:hAnsi="Times New Roman"/>
          <w:b/>
          <w:bCs/>
          <w:sz w:val="24"/>
          <w:szCs w:val="24"/>
        </w:rPr>
      </w:pPr>
      <w:r w:rsidRPr="004128FF">
        <w:rPr>
          <w:rFonts w:ascii="Times New Roman" w:hAnsi="Times New Roman"/>
          <w:b/>
          <w:bCs/>
          <w:sz w:val="24"/>
          <w:szCs w:val="24"/>
        </w:rPr>
        <w:br w:type="page"/>
      </w:r>
    </w:p>
    <w:p w14:paraId="765D9A33" w14:textId="77777777" w:rsidR="006335BC" w:rsidRPr="004128FF" w:rsidRDefault="006335BC"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FF19B9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72EB2D32"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331D7AB"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6A2B826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14C74207"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3B3CB3F3"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4128FF" w:rsidRDefault="006335BC" w:rsidP="006335BC">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2C4BCAA8" w14:textId="77777777" w:rsidR="006335BC" w:rsidRPr="004128FF" w:rsidRDefault="006335BC" w:rsidP="006335BC">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72AA6545" w14:textId="77777777" w:rsidR="006335BC" w:rsidRPr="004128FF" w:rsidRDefault="006335BC" w:rsidP="006335BC">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 xml:space="preserve">(_____________________________________________), в </w:t>
      </w:r>
      <w:r w:rsidRPr="004128FF">
        <w:rPr>
          <w:rFonts w:ascii="Times New Roman" w:hAnsi="Times New Roman"/>
          <w:color w:val="212121"/>
          <w:sz w:val="24"/>
          <w:szCs w:val="24"/>
        </w:rPr>
        <w:t>тому числі ПДВ: ____ грн. ___ коп. (________________________________________)</w:t>
      </w:r>
    </w:p>
    <w:p w14:paraId="0DFC0AE5"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4128FF"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7AF335F6"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7CE7FD37" w14:textId="77777777" w:rsidTr="00731BC6">
        <w:tc>
          <w:tcPr>
            <w:tcW w:w="5225" w:type="dxa"/>
            <w:hideMark/>
          </w:tcPr>
          <w:p w14:paraId="5F6A17D3" w14:textId="77777777" w:rsidR="006335BC" w:rsidRPr="004128FF" w:rsidRDefault="006335BC"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364EB278" w14:textId="77777777" w:rsidTr="00731BC6">
        <w:trPr>
          <w:trHeight w:val="547"/>
        </w:trPr>
        <w:tc>
          <w:tcPr>
            <w:tcW w:w="5225" w:type="dxa"/>
          </w:tcPr>
          <w:p w14:paraId="6AEA1C1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2449AF6"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CF9ABE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144A345"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1386C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CA938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2FA0F4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E27EFB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1B56BAFD"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56D2CAB"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08E566F"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60C4DADA" w14:textId="77777777" w:rsidTr="00731BC6">
              <w:trPr>
                <w:trHeight w:val="547"/>
              </w:trPr>
              <w:tc>
                <w:tcPr>
                  <w:tcW w:w="4941" w:type="dxa"/>
                </w:tcPr>
                <w:p w14:paraId="0F96AF6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2D2C1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A58299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73409138"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100BDB"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5A3836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F61F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9358DF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18D1DF"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5AEAA0"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2ABB82A"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0CD4DA" w14:textId="77777777" w:rsidR="006335BC" w:rsidRPr="004128FF" w:rsidRDefault="006335BC" w:rsidP="00731BC6">
            <w:pPr>
              <w:spacing w:line="240" w:lineRule="auto"/>
              <w:rPr>
                <w:rFonts w:ascii="Times New Roman" w:eastAsia="Times New Roman" w:hAnsi="Times New Roman"/>
                <w:sz w:val="24"/>
                <w:szCs w:val="24"/>
              </w:rPr>
            </w:pPr>
          </w:p>
        </w:tc>
      </w:tr>
    </w:tbl>
    <w:p w14:paraId="0421886E" w14:textId="77777777" w:rsidR="006335BC" w:rsidRPr="004128FF" w:rsidRDefault="006335BC" w:rsidP="00A2356C">
      <w:pPr>
        <w:spacing w:after="0" w:line="240" w:lineRule="auto"/>
        <w:rPr>
          <w:rFonts w:ascii="Times New Roman" w:eastAsia="Times New Roman" w:hAnsi="Times New Roman"/>
          <w:sz w:val="24"/>
          <w:szCs w:val="24"/>
          <w:lang w:eastAsia="ru-RU"/>
        </w:rPr>
      </w:pPr>
    </w:p>
    <w:sectPr w:rsidR="006335BC" w:rsidRPr="004128FF">
      <w:headerReference w:type="even" r:id="rId14"/>
      <w:headerReference w:type="default" r:id="rId15"/>
      <w:footerReference w:type="even" r:id="rId16"/>
      <w:footerReference w:type="default" r:id="rId17"/>
      <w:headerReference w:type="first" r:id="rId18"/>
      <w:footerReference w:type="first" r:id="rId19"/>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2A46" w14:textId="77777777" w:rsidR="009762EE" w:rsidRDefault="009762EE">
      <w:pPr>
        <w:spacing w:after="0" w:line="240" w:lineRule="auto"/>
      </w:pPr>
      <w:r>
        <w:separator/>
      </w:r>
    </w:p>
  </w:endnote>
  <w:endnote w:type="continuationSeparator" w:id="0">
    <w:p w14:paraId="06E91B28" w14:textId="77777777" w:rsidR="009762EE" w:rsidRDefault="0097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6C03" w14:textId="77777777" w:rsidR="009762EE" w:rsidRDefault="009762EE">
      <w:pPr>
        <w:spacing w:after="0" w:line="240" w:lineRule="auto"/>
      </w:pPr>
      <w:r>
        <w:separator/>
      </w:r>
    </w:p>
  </w:footnote>
  <w:footnote w:type="continuationSeparator" w:id="0">
    <w:p w14:paraId="215A2B94" w14:textId="77777777" w:rsidR="009762EE" w:rsidRDefault="0097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3826"/>
    <w:rsid w:val="001376DE"/>
    <w:rsid w:val="00151052"/>
    <w:rsid w:val="001A431F"/>
    <w:rsid w:val="001B32DE"/>
    <w:rsid w:val="001C0569"/>
    <w:rsid w:val="00202027"/>
    <w:rsid w:val="00217EC1"/>
    <w:rsid w:val="00217F56"/>
    <w:rsid w:val="00240C48"/>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128FF"/>
    <w:rsid w:val="004439A1"/>
    <w:rsid w:val="004450B1"/>
    <w:rsid w:val="00445A00"/>
    <w:rsid w:val="0045672A"/>
    <w:rsid w:val="00462BB4"/>
    <w:rsid w:val="004711F6"/>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0F88"/>
    <w:rsid w:val="005D5711"/>
    <w:rsid w:val="005D7249"/>
    <w:rsid w:val="005E31A5"/>
    <w:rsid w:val="0060477C"/>
    <w:rsid w:val="00614131"/>
    <w:rsid w:val="006335BC"/>
    <w:rsid w:val="00656EA2"/>
    <w:rsid w:val="0066687E"/>
    <w:rsid w:val="00694C80"/>
    <w:rsid w:val="006D5637"/>
    <w:rsid w:val="00735FC9"/>
    <w:rsid w:val="00745356"/>
    <w:rsid w:val="00756C1C"/>
    <w:rsid w:val="00761EBE"/>
    <w:rsid w:val="0079012D"/>
    <w:rsid w:val="00793427"/>
    <w:rsid w:val="007E169C"/>
    <w:rsid w:val="007E61FF"/>
    <w:rsid w:val="007F71A1"/>
    <w:rsid w:val="00815B3D"/>
    <w:rsid w:val="008617FE"/>
    <w:rsid w:val="00866305"/>
    <w:rsid w:val="00874735"/>
    <w:rsid w:val="00885245"/>
    <w:rsid w:val="00896804"/>
    <w:rsid w:val="008E4049"/>
    <w:rsid w:val="00905B18"/>
    <w:rsid w:val="009310FC"/>
    <w:rsid w:val="009335B6"/>
    <w:rsid w:val="0096166C"/>
    <w:rsid w:val="00966AB4"/>
    <w:rsid w:val="009762EE"/>
    <w:rsid w:val="0098022F"/>
    <w:rsid w:val="009B5EC1"/>
    <w:rsid w:val="009D6E7B"/>
    <w:rsid w:val="009E128C"/>
    <w:rsid w:val="00A015AF"/>
    <w:rsid w:val="00A060CE"/>
    <w:rsid w:val="00A06F72"/>
    <w:rsid w:val="00A2356C"/>
    <w:rsid w:val="00A67777"/>
    <w:rsid w:val="00A73E23"/>
    <w:rsid w:val="00A87DA0"/>
    <w:rsid w:val="00AA0BFC"/>
    <w:rsid w:val="00AA4FA9"/>
    <w:rsid w:val="00AA504F"/>
    <w:rsid w:val="00AB3140"/>
    <w:rsid w:val="00AC1FC4"/>
    <w:rsid w:val="00AF17C6"/>
    <w:rsid w:val="00B14FD7"/>
    <w:rsid w:val="00B327A6"/>
    <w:rsid w:val="00B56967"/>
    <w:rsid w:val="00B57FB0"/>
    <w:rsid w:val="00B85411"/>
    <w:rsid w:val="00B9717C"/>
    <w:rsid w:val="00BB7771"/>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760E6"/>
    <w:rsid w:val="00D81383"/>
    <w:rsid w:val="00D91575"/>
    <w:rsid w:val="00DB7DCA"/>
    <w:rsid w:val="00DC2B23"/>
    <w:rsid w:val="00DE4277"/>
    <w:rsid w:val="00E06E56"/>
    <w:rsid w:val="00E367FE"/>
    <w:rsid w:val="00E722ED"/>
    <w:rsid w:val="00E819DD"/>
    <w:rsid w:val="00E86E78"/>
    <w:rsid w:val="00EA69E0"/>
    <w:rsid w:val="00EF7F9F"/>
    <w:rsid w:val="00F0630B"/>
    <w:rsid w:val="00F24F80"/>
    <w:rsid w:val="00F83AF8"/>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AF%D0%BA%D1%96%D1%81%D1%82%D1%8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16</Pages>
  <Words>6254</Words>
  <Characters>35649</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53</cp:revision>
  <cp:lastPrinted>2023-10-31T14:14:00Z</cp:lastPrinted>
  <dcterms:created xsi:type="dcterms:W3CDTF">2024-03-27T12:42:00Z</dcterms:created>
  <dcterms:modified xsi:type="dcterms:W3CDTF">2024-04-22T09:28:00Z</dcterms:modified>
  <dc:language>uk-UA</dc:language>
</cp:coreProperties>
</file>