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89" w:rsidRPr="00A053E9" w:rsidRDefault="00E57E89" w:rsidP="00E57E89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A053E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ДОДАТОК 2</w:t>
      </w:r>
    </w:p>
    <w:p w:rsidR="00E57E89" w:rsidRPr="00691593" w:rsidRDefault="00E57E89" w:rsidP="00E57E89">
      <w:pPr>
        <w:jc w:val="right"/>
        <w:rPr>
          <w:rFonts w:ascii="Times New Roman" w:eastAsia="Times New Roman" w:hAnsi="Times New Roman" w:cs="Times New Roman"/>
          <w:i/>
          <w:iCs/>
          <w:spacing w:val="-1"/>
          <w:lang w:val="uk-UA" w:eastAsia="ru-RU"/>
        </w:rPr>
      </w:pPr>
      <w:r w:rsidRPr="00691593">
        <w:rPr>
          <w:rFonts w:ascii="Times New Roman" w:eastAsia="Times New Roman" w:hAnsi="Times New Roman" w:cs="Times New Roman"/>
          <w:i/>
          <w:iCs/>
          <w:spacing w:val="-1"/>
          <w:lang w:val="uk-UA" w:eastAsia="ru-RU"/>
        </w:rPr>
        <w:t>до тендерної документації</w:t>
      </w:r>
    </w:p>
    <w:p w:rsidR="00EE4E70" w:rsidRPr="00691593" w:rsidRDefault="00EE4E70" w:rsidP="00EE4E70">
      <w:pPr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691593" w:rsidRDefault="00EE4E70" w:rsidP="00EE4E70">
      <w:pPr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691593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200C5A" w:rsidRDefault="00C93270" w:rsidP="005A0CDD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bookmarkStart w:id="0" w:name="_GoBack"/>
      <w:bookmarkEnd w:id="0"/>
      <w:r w:rsidR="00200C5A" w:rsidRPr="00200C5A">
        <w:rPr>
          <w:rFonts w:ascii="Times New Roman" w:hAnsi="Times New Roman" w:cs="Times New Roman"/>
          <w:sz w:val="24"/>
          <w:szCs w:val="24"/>
          <w:lang w:val="uk-UA"/>
        </w:rPr>
        <w:t xml:space="preserve">рилади нічного бачення </w:t>
      </w:r>
    </w:p>
    <w:p w:rsidR="002F6362" w:rsidRPr="003057D7" w:rsidRDefault="005A0CDD" w:rsidP="005A0CDD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3057D7">
        <w:rPr>
          <w:rFonts w:ascii="Times New Roman" w:hAnsi="Times New Roman" w:cs="Times New Roman"/>
          <w:sz w:val="24"/>
          <w:szCs w:val="24"/>
          <w:lang w:val="uk-UA"/>
        </w:rPr>
        <w:t xml:space="preserve">(код </w:t>
      </w:r>
      <w:r w:rsidR="003057D7" w:rsidRPr="003057D7">
        <w:rPr>
          <w:rFonts w:ascii="Times New Roman" w:hAnsi="Times New Roman" w:cs="Times New Roman"/>
          <w:sz w:val="24"/>
          <w:szCs w:val="24"/>
          <w:lang w:val="uk-UA"/>
        </w:rPr>
        <w:t>ДК 021:2015: 38630000-0 — Астрономічні та оптичні прилади</w:t>
      </w:r>
      <w:r w:rsidRPr="003057D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A51CF" w:rsidRDefault="004A51CF" w:rsidP="004A51CF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F6362" w:rsidRPr="00691593" w:rsidRDefault="001513A7" w:rsidP="004A51CF">
      <w:pPr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Пропозиція Учасника має містити чітке вказання моделі запропонованого товару для можливості складання звіту про відповідність запропонованої моделі технічним вимогам предмету закупівлі.</w:t>
      </w:r>
    </w:p>
    <w:p w:rsidR="00911653" w:rsidRPr="00691593" w:rsidRDefault="001513A7" w:rsidP="0091165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Обладнання має бути поставлене згідно з технічними та якісними вимогами, визначених у </w:t>
      </w:r>
      <w:r w:rsidR="00911653" w:rsidRPr="00691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даному додатку та інших розділах тендерної документації.</w:t>
      </w:r>
    </w:p>
    <w:p w:rsidR="002F6362" w:rsidRPr="00691593" w:rsidRDefault="002F6362" w:rsidP="002F6362">
      <w:pPr>
        <w:ind w:left="-426" w:firstLine="568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276"/>
      </w:tblGrid>
      <w:tr w:rsidR="005A0CDD" w:rsidRPr="00B87C5C" w:rsidTr="00345CA5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DD" w:rsidRPr="00B87C5C" w:rsidRDefault="005A0CDD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B87C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DD" w:rsidRPr="00B87C5C" w:rsidRDefault="00911653" w:rsidP="00151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Найменування та </w:t>
            </w:r>
            <w:r w:rsidR="001513A7" w:rsidRPr="00B87C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DD" w:rsidRPr="00B87C5C" w:rsidRDefault="005A0CDD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Кількість, шт.</w:t>
            </w:r>
          </w:p>
        </w:tc>
      </w:tr>
      <w:tr w:rsidR="005A0CDD" w:rsidRPr="00B87C5C" w:rsidTr="00345CA5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DD" w:rsidRPr="00B87C5C" w:rsidRDefault="005A0CDD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uk-UA"/>
              </w:rPr>
            </w:pPr>
            <w:r w:rsidRPr="00B87C5C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uk-UA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DD" w:rsidRPr="00B87C5C" w:rsidRDefault="005A0CD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87C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DD" w:rsidRPr="00B87C5C" w:rsidRDefault="005A0CDD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87C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</w:tr>
      <w:tr w:rsidR="00395324" w:rsidRPr="00B87C5C" w:rsidTr="00345CA5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24" w:rsidRPr="00B87C5C" w:rsidRDefault="00395324" w:rsidP="0039532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B87C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/>
                <w:lang w:val="uk-UA"/>
              </w:rPr>
              <w:t>Монокуляр нічного бачення</w:t>
            </w: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Електронно-оптичний перетворювач, не гірше: </w:t>
            </w:r>
            <w:proofErr w:type="spellStart"/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Gen</w:t>
            </w:r>
            <w:proofErr w:type="spellEnd"/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2+ </w:t>
            </w:r>
            <w:r w:rsidR="00B87C5C" w:rsidRPr="00B87C5C">
              <w:rPr>
                <w:rFonts w:ascii="Times New Roman" w:hAnsi="Times New Roman" w:cs="Times New Roman"/>
                <w:bCs/>
                <w:i/>
                <w:lang w:val="uk-UA"/>
              </w:rPr>
              <w:t>«</w:t>
            </w:r>
            <w:proofErr w:type="spellStart"/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White</w:t>
            </w:r>
            <w:proofErr w:type="spellEnd"/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Phosphor</w:t>
            </w:r>
            <w:proofErr w:type="spellEnd"/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Level</w:t>
            </w:r>
            <w:proofErr w:type="spellEnd"/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1</w:t>
            </w:r>
            <w:r w:rsidR="00B87C5C" w:rsidRPr="00B87C5C">
              <w:rPr>
                <w:rFonts w:ascii="Times New Roman" w:hAnsi="Times New Roman" w:cs="Times New Roman"/>
                <w:bCs/>
                <w:i/>
                <w:lang w:val="uk-UA"/>
              </w:rPr>
              <w:t>»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>Роздільна здатність (зображення):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51-64 (</w:t>
            </w:r>
            <w:proofErr w:type="spellStart"/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штр</w:t>
            </w:r>
            <w:proofErr w:type="spellEnd"/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/мм) штрихів на міліметр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Чистота поля зору, не гірше: </w:t>
            </w:r>
            <w:proofErr w:type="spellStart"/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Gen</w:t>
            </w:r>
            <w:proofErr w:type="spellEnd"/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2 IIT NL1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Збільшення, не гірше: 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1x (3x і 5x опція)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Система лінз, не гірше: 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26 mm; F/1.2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Поле зору, не менше: 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40°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Діапазон фокусування, не гірше: 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0.25 м до нескінченності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Діоптрійне регулювання, не менше: 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-6 - +4 </w:t>
            </w:r>
            <w:proofErr w:type="spellStart"/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dpt</w:t>
            </w:r>
            <w:proofErr w:type="spellEnd"/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Індикатори: Низький заряд батареї; ІЧ </w:t>
            </w:r>
            <w:proofErr w:type="spellStart"/>
            <w:r w:rsidRPr="00B87C5C">
              <w:rPr>
                <w:rFonts w:ascii="Times New Roman" w:hAnsi="Times New Roman" w:cs="Times New Roman"/>
                <w:bCs/>
                <w:lang w:val="uk-UA"/>
              </w:rPr>
              <w:t>увімкнено</w:t>
            </w:r>
            <w:proofErr w:type="spellEnd"/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; 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Надмірні умови освітлення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Особливості: 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Інфрачервоне підсвічування, ручне регулювання посилення, відключення яскравого світла, система автоматичного відключення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Батарея: 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одна AA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Час роботи від батареї: 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до 50 годин при 20°C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Робоча температура: 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-51° C - +49° C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Вага не більше, г: 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320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Розміри не більше, мм: 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114 x 63x 69 мм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Гарантія, не менше: 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12 міс.</w:t>
            </w:r>
            <w:r w:rsidR="00B87C5C">
              <w:rPr>
                <w:rFonts w:ascii="Times New Roman" w:hAnsi="Times New Roman" w:cs="Times New Roman"/>
                <w:bCs/>
                <w:i/>
                <w:lang w:val="uk-UA"/>
              </w:rPr>
              <w:t>;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Комплектація, </w:t>
            </w:r>
            <w:proofErr w:type="spellStart"/>
            <w:r w:rsidRPr="00B87C5C">
              <w:rPr>
                <w:rFonts w:ascii="Times New Roman" w:hAnsi="Times New Roman" w:cs="Times New Roman"/>
                <w:bCs/>
                <w:lang w:val="uk-UA"/>
              </w:rPr>
              <w:t>шт</w:t>
            </w:r>
            <w:proofErr w:type="spellEnd"/>
            <w:r w:rsidRPr="00B87C5C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>монокуляр – 1, шайба для захисного скла – 1, захисне скло – 1, папір для очищення лінз – 1, футляр для ременів – 1, підкладки (маленька та середня) – 1, підкладка (велика) – 1, посібник користувача – 1, кріплення на голову – 1,  адаптер для кріплення на шолом – 1, сумка для транспортування – 1, батарейка – 1, ремінець на шию - 1, кришка об’єктива – 1.</w:t>
            </w:r>
          </w:p>
          <w:p w:rsidR="00395324" w:rsidRPr="00B87C5C" w:rsidRDefault="00395324" w:rsidP="0039532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C5C">
              <w:rPr>
                <w:rFonts w:ascii="Times New Roman" w:hAnsi="Times New Roman" w:cs="Times New Roman"/>
                <w:bCs/>
                <w:lang w:val="uk-UA"/>
              </w:rPr>
              <w:t>Додатково монокуляр нічного бачення повинен бути доукомплектований:</w:t>
            </w:r>
            <w:r w:rsidRPr="00B87C5C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сумісним, оригінальним (монокуляр та кріплення має бути від одного виробника) кріпленням на шолом. Вага кріплення не більше, г: 243.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24" w:rsidRPr="00B87C5C" w:rsidRDefault="00395324" w:rsidP="00395324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C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95324" w:rsidRPr="00B87C5C" w:rsidTr="00345CA5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24" w:rsidRPr="00B87C5C" w:rsidRDefault="00395324" w:rsidP="0039532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B87C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b/>
                <w:bCs/>
                <w:color w:val="221F1F"/>
                <w:shd w:val="clear" w:color="auto" w:fill="FFFFFF"/>
                <w:lang w:val="uk-UA"/>
              </w:rPr>
            </w:pPr>
            <w:proofErr w:type="spellStart"/>
            <w:r w:rsidRPr="00B87C5C">
              <w:rPr>
                <w:rFonts w:ascii="Times New Roman" w:hAnsi="Times New Roman" w:cs="Times New Roman"/>
                <w:b/>
                <w:bCs/>
                <w:color w:val="221F1F"/>
                <w:shd w:val="clear" w:color="auto" w:fill="FFFFFF"/>
                <w:lang w:val="uk-UA"/>
              </w:rPr>
              <w:t>Тепловізійний</w:t>
            </w:r>
            <w:proofErr w:type="spellEnd"/>
            <w:r w:rsidRPr="00B87C5C">
              <w:rPr>
                <w:rFonts w:ascii="Times New Roman" w:hAnsi="Times New Roman" w:cs="Times New Roman"/>
                <w:b/>
                <w:bCs/>
                <w:color w:val="221F1F"/>
                <w:shd w:val="clear" w:color="auto" w:fill="FFFFFF"/>
                <w:lang w:val="uk-UA"/>
              </w:rPr>
              <w:t xml:space="preserve"> монокуляр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Дисплей, не гірше: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OLED 640x400</w:t>
            </w:r>
            <w:r w:rsid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;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Палітри зображення: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4 кольорові палітри (гарячий - білий / гарячий - чорний / гарячий - червоний / райдужний)</w:t>
            </w:r>
            <w:r w:rsid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;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Роздільна здатність матриці, не менше: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384x288</w:t>
            </w:r>
            <w:r w:rsid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;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Ядро: </w:t>
            </w:r>
            <w:proofErr w:type="spellStart"/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VOx</w:t>
            </w:r>
            <w:proofErr w:type="spellEnd"/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 xml:space="preserve">, 12 </w:t>
            </w:r>
            <w:proofErr w:type="spellStart"/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мкм</w:t>
            </w:r>
            <w:proofErr w:type="spellEnd"/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proofErr w:type="spellStart"/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>WiFi</w:t>
            </w:r>
            <w:proofErr w:type="spellEnd"/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Так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Відеовихід: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Так, запис відео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Підтримка </w:t>
            </w:r>
            <w:proofErr w:type="spellStart"/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>microSD</w:t>
            </w:r>
            <w:proofErr w:type="spellEnd"/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 карти: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Так, до 32Гб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Дальність ідентифікації людини, не менше: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200 м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Дальність виявлення людини, не менше: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1100м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Дальність розпізнавання людини, не менше: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350м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lastRenderedPageBreak/>
              <w:t xml:space="preserve">Діаметр об'єктива: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19/F1.0мм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Діоптрійне налаштування: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Так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Поле зору, не менше: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10.5×7.9 на 100 метрів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Збільшення, х: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2.4 – 9.6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Клас захисту, не гірше: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IP-67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Автономна робота: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до 8 годин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Вага не більше. Г.: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350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Зовнішній блок живлення: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USB-DC5V/2A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Габаритні розміри не більше, мм: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169×60×60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Гарантія, не менше: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24 міс.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Інтервал робочих температур, не менше: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 xml:space="preserve"> -30 ... +70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  <w:r w:rsidRPr="00B87C5C"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  <w:t xml:space="preserve">Тип батареї: </w:t>
            </w:r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Акумулятор внутрішній (</w:t>
            </w:r>
            <w:proofErr w:type="spellStart"/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Li-Ion</w:t>
            </w:r>
            <w:proofErr w:type="spellEnd"/>
            <w:r w:rsidRPr="00B87C5C">
              <w:rPr>
                <w:rFonts w:ascii="Times New Roman" w:hAnsi="Times New Roman" w:cs="Times New Roman"/>
                <w:i/>
                <w:color w:val="221F1F"/>
                <w:shd w:val="clear" w:color="auto" w:fill="FFFFFF"/>
                <w:lang w:val="uk-UA"/>
              </w:rPr>
              <w:t>)</w:t>
            </w:r>
          </w:p>
          <w:p w:rsidR="00395324" w:rsidRPr="00B87C5C" w:rsidRDefault="00395324" w:rsidP="00395324">
            <w:pPr>
              <w:ind w:right="-108"/>
              <w:rPr>
                <w:rFonts w:ascii="Times New Roman" w:hAnsi="Times New Roman" w:cs="Times New Roman"/>
                <w:color w:val="221F1F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24" w:rsidRPr="00B87C5C" w:rsidRDefault="00395324" w:rsidP="00395324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C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</w:tr>
    </w:tbl>
    <w:p w:rsidR="00FC11EA" w:rsidRPr="00691593" w:rsidRDefault="00FC11EA" w:rsidP="00B8606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395324" w:rsidRPr="00395324" w:rsidRDefault="00395324" w:rsidP="00395324">
      <w:pPr>
        <w:ind w:firstLine="567"/>
        <w:jc w:val="both"/>
        <w:rPr>
          <w:rFonts w:ascii="Times New Roman" w:hAnsi="Times New Roman" w:cs="Times New Roman"/>
          <w:b/>
          <w:i/>
          <w:u w:val="single"/>
          <w:lang w:val="uk-UA"/>
        </w:rPr>
      </w:pPr>
      <w:r w:rsidRPr="00395324">
        <w:rPr>
          <w:rFonts w:ascii="Times New Roman" w:hAnsi="Times New Roman" w:cs="Times New Roman"/>
          <w:b/>
          <w:i/>
          <w:u w:val="single"/>
          <w:lang w:val="uk-UA"/>
        </w:rPr>
        <w:t>Загальні документи:</w:t>
      </w:r>
    </w:p>
    <w:p w:rsidR="00395324" w:rsidRPr="00395324" w:rsidRDefault="00395324" w:rsidP="0039532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395324">
        <w:rPr>
          <w:rFonts w:ascii="Times New Roman" w:hAnsi="Times New Roman" w:cs="Times New Roman"/>
          <w:noProof/>
          <w:lang w:val="uk-UA"/>
        </w:rPr>
        <w:t xml:space="preserve">1. Гарантійний лист, що обладнання є новим (таким, що не було в експлуатації), і надаватиметься у комплекті з гарантійними талонами, тощо. </w:t>
      </w:r>
    </w:p>
    <w:p w:rsidR="00395324" w:rsidRPr="00AF4ACF" w:rsidRDefault="00395324" w:rsidP="0039532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395324">
        <w:rPr>
          <w:rFonts w:ascii="Times New Roman" w:hAnsi="Times New Roman" w:cs="Times New Roman"/>
          <w:noProof/>
          <w:lang w:val="uk-UA"/>
        </w:rPr>
        <w:t xml:space="preserve">2. Гарантійний лист про те, що всі основні компоненти товару будуть оригінальними, заміна </w:t>
      </w:r>
      <w:r w:rsidRPr="00AF4ACF">
        <w:rPr>
          <w:rFonts w:ascii="Times New Roman" w:hAnsi="Times New Roman" w:cs="Times New Roman"/>
          <w:noProof/>
          <w:lang w:val="uk-UA"/>
        </w:rPr>
        <w:t xml:space="preserve">компонентів на неоригінальні забороняється. </w:t>
      </w:r>
    </w:p>
    <w:p w:rsidR="00395324" w:rsidRPr="00395324" w:rsidRDefault="00395324" w:rsidP="0039532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395324">
        <w:rPr>
          <w:rFonts w:ascii="Times New Roman" w:hAnsi="Times New Roman" w:cs="Times New Roman"/>
          <w:noProof/>
          <w:lang w:val="uk-UA"/>
        </w:rPr>
        <w:t>3. Гарантійний лист про те, що технічні, якісні характеристики Товару за предметом закупівлі повинні відповідати встановленим/зареєстрованим нормативним актам діючого законод</w:t>
      </w:r>
      <w:r w:rsidR="00345CA5">
        <w:rPr>
          <w:rFonts w:ascii="Times New Roman" w:hAnsi="Times New Roman" w:cs="Times New Roman"/>
          <w:noProof/>
          <w:lang w:val="uk-UA"/>
        </w:rPr>
        <w:t>авства (державним стандартам), що</w:t>
      </w:r>
      <w:r w:rsidRPr="00395324">
        <w:rPr>
          <w:rFonts w:ascii="Times New Roman" w:hAnsi="Times New Roman" w:cs="Times New Roman"/>
          <w:noProof/>
          <w:lang w:val="uk-UA"/>
        </w:rPr>
        <w:t xml:space="preserve"> передбачають застосування заходів із захисту довкілля.</w:t>
      </w:r>
    </w:p>
    <w:p w:rsidR="00395324" w:rsidRPr="00395324" w:rsidRDefault="00395324" w:rsidP="0039532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395324">
        <w:rPr>
          <w:rFonts w:ascii="Times New Roman" w:hAnsi="Times New Roman" w:cs="Times New Roman"/>
          <w:noProof/>
          <w:lang w:val="uk-UA"/>
        </w:rPr>
        <w:t xml:space="preserve">4. Гарантійний лист про те, що всі транспортні послуги та інші витрати (пакування, доставка) будуть здійснюватися за рахунок Учасника. </w:t>
      </w:r>
    </w:p>
    <w:p w:rsidR="00395324" w:rsidRPr="00395324" w:rsidRDefault="00395324" w:rsidP="0039532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395324">
        <w:rPr>
          <w:rFonts w:ascii="Times New Roman" w:hAnsi="Times New Roman" w:cs="Times New Roman"/>
          <w:noProof/>
          <w:lang w:val="uk-UA"/>
        </w:rPr>
        <w:t xml:space="preserve">5. Учасник повинен надати порівняльну таблицю відповідності запропонованого товару технічним вимогам Замовника, </w:t>
      </w:r>
      <w:r w:rsidR="00345CA5">
        <w:rPr>
          <w:rFonts w:ascii="Times New Roman" w:hAnsi="Times New Roman" w:cs="Times New Roman"/>
          <w:noProof/>
          <w:lang w:val="uk-UA"/>
        </w:rPr>
        <w:t>що</w:t>
      </w:r>
      <w:r w:rsidRPr="00395324">
        <w:rPr>
          <w:rFonts w:ascii="Times New Roman" w:hAnsi="Times New Roman" w:cs="Times New Roman"/>
          <w:noProof/>
          <w:lang w:val="uk-UA"/>
        </w:rPr>
        <w:t xml:space="preserve"> вказані в цьому Додатку. В таблиці обов’язково зазначається виробник та модель для перевірки відповідності технічних характеристик запропонованого Учасником обладнання.</w:t>
      </w:r>
    </w:p>
    <w:p w:rsidR="00395324" w:rsidRPr="00395324" w:rsidRDefault="00395324" w:rsidP="0039532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395324">
        <w:rPr>
          <w:rFonts w:ascii="Times New Roman" w:hAnsi="Times New Roman" w:cs="Times New Roman"/>
          <w:noProof/>
          <w:lang w:val="uk-UA"/>
        </w:rPr>
        <w:t>6. Лист від виробника або офіційного представництва/дистриб`ютора виробника в Україні монокулярів нічного бачення запропонованих Учасником для даної закупівлі із зазначенням найменування товару, кількості, номера закупівлі в системі публічних закупівель, назви Учасника.</w:t>
      </w:r>
    </w:p>
    <w:p w:rsidR="00395324" w:rsidRPr="00395324" w:rsidRDefault="00395324" w:rsidP="0039532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395324">
        <w:rPr>
          <w:rFonts w:ascii="Times New Roman" w:hAnsi="Times New Roman" w:cs="Times New Roman"/>
          <w:noProof/>
          <w:lang w:val="uk-UA"/>
        </w:rPr>
        <w:t>7. Висновок державної санітарно-епідеміологічної експертизи та/або декларацію/сертифікат про відповідність ви</w:t>
      </w:r>
      <w:r w:rsidR="00345CA5">
        <w:rPr>
          <w:rFonts w:ascii="Times New Roman" w:hAnsi="Times New Roman" w:cs="Times New Roman"/>
          <w:noProof/>
          <w:lang w:val="uk-UA"/>
        </w:rPr>
        <w:t>могам технічних регламентів, що</w:t>
      </w:r>
      <w:r w:rsidRPr="00395324">
        <w:rPr>
          <w:rFonts w:ascii="Times New Roman" w:hAnsi="Times New Roman" w:cs="Times New Roman"/>
          <w:noProof/>
          <w:lang w:val="uk-UA"/>
        </w:rPr>
        <w:t xml:space="preserve"> підтверджують якість та відповідність обладнання, чинні на момент подання пропозиції (скан-копії) монокулярів нічного бачення запропонованих Учасником для даної закупівлі.</w:t>
      </w:r>
    </w:p>
    <w:p w:rsidR="00395324" w:rsidRPr="00395324" w:rsidRDefault="00395324" w:rsidP="0039532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395324">
        <w:rPr>
          <w:rFonts w:ascii="Times New Roman" w:hAnsi="Times New Roman" w:cs="Times New Roman"/>
          <w:noProof/>
          <w:lang w:val="uk-UA"/>
        </w:rPr>
        <w:t xml:space="preserve">8. </w:t>
      </w:r>
      <w:r w:rsidRPr="00395324">
        <w:rPr>
          <w:rFonts w:ascii="Times New Roman" w:hAnsi="Times New Roman" w:cs="Times New Roman"/>
          <w:lang w:val="uk-UA"/>
        </w:rPr>
        <w:t xml:space="preserve">Учасник повинен мати в наявності сервісний центр, який забезпечить гарантійну підтримку та обслуговування (ремонт) Товару протягом визначеного гарантійного терміну та після гарантійне обслуговування (ремонт). Також учасник в складі тендерної пропозиції повинен надати довідку з посиланням на сайт, де зазначено контактну інформацію його сервісного центру та посилання на сторінку сайту на якій є можливість перевірити статус ремонту пристрою </w:t>
      </w:r>
      <w:proofErr w:type="spellStart"/>
      <w:r w:rsidRPr="00395324">
        <w:rPr>
          <w:rFonts w:ascii="Times New Roman" w:hAnsi="Times New Roman" w:cs="Times New Roman"/>
          <w:lang w:val="uk-UA"/>
        </w:rPr>
        <w:t>Online</w:t>
      </w:r>
      <w:proofErr w:type="spellEnd"/>
      <w:r w:rsidRPr="00395324">
        <w:rPr>
          <w:rFonts w:ascii="Times New Roman" w:hAnsi="Times New Roman" w:cs="Times New Roman"/>
          <w:lang w:val="uk-UA"/>
        </w:rPr>
        <w:t xml:space="preserve"> (за номером телефону Замовника).</w:t>
      </w:r>
    </w:p>
    <w:p w:rsidR="00395324" w:rsidRPr="00395324" w:rsidRDefault="00395324" w:rsidP="0039532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395324">
        <w:rPr>
          <w:rFonts w:ascii="Times New Roman" w:hAnsi="Times New Roman" w:cs="Times New Roman"/>
          <w:lang w:val="uk-UA"/>
        </w:rPr>
        <w:t>Сервісний центр учасника повинен бути сертифікованим відповідно до всіх вітчизняних та міжнародних вимог і стандартів, що повинно бути підтверджено сертифікатами ISO 9001:2015 (ДСТУ ISO 9001:2015 (ISO 9001:2015, IDT), ДСТУ EN ISO 9001:2018 (EN ISO 9001:2015, IDT; ISO 9001:2015, IDT)) «Системи менеджменту якості. Вимоги»; ISO 14001:2015 (ДСТУ ISO 14001:2015 (ISO 14001:2015, IDT)) «Системи екологічного менеджменту. Вимоги та настанови щодо застосування» на «Обслуговування та співпраця з державними/комунальними підприємствами, закладами, установами та організаціями» та ISO 45001:2018 (ISO 45001:2018, IDT), «Системи менеджменту охорони здоров`я та безпеки праці. Вимоги та настанови щодо застосування»» на «ремонт та технічне обслуговування» (надати копії сертифікатів з усіма додатками до них).</w:t>
      </w:r>
    </w:p>
    <w:p w:rsidR="00395324" w:rsidRPr="00395324" w:rsidRDefault="00395324" w:rsidP="0039532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noProof/>
          <w:lang w:val="uk-UA"/>
        </w:rPr>
      </w:pPr>
    </w:p>
    <w:p w:rsidR="00395324" w:rsidRPr="00395324" w:rsidRDefault="00395324" w:rsidP="00345CA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95324">
        <w:rPr>
          <w:rFonts w:ascii="Times New Roman" w:hAnsi="Times New Roman" w:cs="Times New Roman"/>
          <w:lang w:val="uk-UA"/>
        </w:rPr>
        <w:t>* Замовник залишає за собою право звернутися до виробника або його офіційного дистриб’ютора в Україні задля підтвердження достовірності наданої інформації. В разі, якщо виробник товару або його офіційний дистриб’ютор в Україні не підтвердить достовірності наданої інформації, Замовник відхиляє дану пропозицію.</w:t>
      </w:r>
    </w:p>
    <w:p w:rsidR="00395324" w:rsidRPr="00395324" w:rsidRDefault="00395324" w:rsidP="00395324">
      <w:pPr>
        <w:jc w:val="both"/>
        <w:rPr>
          <w:rFonts w:ascii="Times New Roman" w:hAnsi="Times New Roman" w:cs="Times New Roman"/>
          <w:b/>
          <w:lang w:val="uk-UA"/>
        </w:rPr>
      </w:pPr>
    </w:p>
    <w:p w:rsidR="00395324" w:rsidRPr="00395324" w:rsidRDefault="00395324" w:rsidP="0039532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95324">
        <w:rPr>
          <w:rFonts w:ascii="Times New Roman" w:hAnsi="Times New Roman" w:cs="Times New Roman"/>
          <w:b/>
          <w:lang w:val="uk-UA"/>
        </w:rPr>
        <w:lastRenderedPageBreak/>
        <w:t>Товар не може бути виробництва російської федерації та Республіки Білорусь,</w:t>
      </w:r>
      <w:r w:rsidRPr="00395324">
        <w:rPr>
          <w:rFonts w:ascii="Times New Roman" w:hAnsi="Times New Roman" w:cs="Times New Roman"/>
          <w:lang w:val="uk-UA"/>
        </w:rPr>
        <w:t xml:space="preserve"> а також відповідно до постанови КМУ від 12 жовтня 2022 р. № 1178 </w:t>
      </w:r>
      <w:r w:rsidRPr="0039532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замовникам забороняється здійснювати публічні закупівлі товарів, робіт і послуг у юридичних осіб — резидентів Російської Федерації/Республіки Білорусь державної форми власності, юридичних осіб, створених та/або зареєстрованих відповідно до законодавства Російської Федерації/Республіки Білорусь, та юридичних осіб, кінцевими </w:t>
      </w:r>
      <w:proofErr w:type="spellStart"/>
      <w:r w:rsidRPr="0039532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бенефіціарними</w:t>
      </w:r>
      <w:proofErr w:type="spellEnd"/>
      <w:r w:rsidRPr="0039532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власниками (власниками) яких є резиденти Російської Федерації/Республіки Білорусь, та/або у фізичних осіб (фізичних осіб —підприємців) — резидентів Російської Федерації/Республіки Білорусь, а також публічні закупівлі в інших суб’єктів господарювання, що здійснюють продаж товарів, робіт і послуг походженням з Російської Федерації/Республіки Білорусь.</w:t>
      </w:r>
    </w:p>
    <w:p w:rsidR="00395324" w:rsidRPr="00395324" w:rsidRDefault="00395324" w:rsidP="00395324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4D6B48" w:rsidRPr="003057D7" w:rsidRDefault="004D6B48" w:rsidP="004D6B4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D6B48" w:rsidRPr="00691593" w:rsidRDefault="004D6B48" w:rsidP="004D6B4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5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уваги учасників: </w:t>
      </w:r>
      <w:r w:rsidRPr="00691593">
        <w:rPr>
          <w:rFonts w:ascii="Times New Roman" w:hAnsi="Times New Roman" w:cs="Times New Roman"/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4D6B48" w:rsidRPr="00691593" w:rsidRDefault="004D6B48" w:rsidP="004D6B4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D6B48" w:rsidRPr="00691593" w:rsidRDefault="004D6B48" w:rsidP="004D6B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1593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p w:rsidR="002A17A9" w:rsidRPr="00691593" w:rsidRDefault="002A17A9" w:rsidP="00EE4E70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2A17A9" w:rsidRPr="00691593" w:rsidSect="00345CA5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D8E"/>
    <w:multiLevelType w:val="hybridMultilevel"/>
    <w:tmpl w:val="31D89528"/>
    <w:lvl w:ilvl="0" w:tplc="46A80E8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6F8D"/>
    <w:multiLevelType w:val="hybridMultilevel"/>
    <w:tmpl w:val="2EBE7C68"/>
    <w:lvl w:ilvl="0" w:tplc="BC86ED96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6F0692"/>
    <w:multiLevelType w:val="multilevel"/>
    <w:tmpl w:val="9F2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50CF6"/>
    <w:multiLevelType w:val="multilevel"/>
    <w:tmpl w:val="BD70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D3DE0"/>
    <w:multiLevelType w:val="hybridMultilevel"/>
    <w:tmpl w:val="A1B8C154"/>
    <w:lvl w:ilvl="0" w:tplc="723E5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AB627D"/>
    <w:multiLevelType w:val="multilevel"/>
    <w:tmpl w:val="5B92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D50A2"/>
    <w:multiLevelType w:val="multilevel"/>
    <w:tmpl w:val="5A200C7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1B50"/>
    <w:rsid w:val="00005647"/>
    <w:rsid w:val="00007961"/>
    <w:rsid w:val="000257E4"/>
    <w:rsid w:val="00063529"/>
    <w:rsid w:val="00084A89"/>
    <w:rsid w:val="000A1F19"/>
    <w:rsid w:val="000C2317"/>
    <w:rsid w:val="000E2832"/>
    <w:rsid w:val="000E6001"/>
    <w:rsid w:val="00143270"/>
    <w:rsid w:val="001513A7"/>
    <w:rsid w:val="001739CC"/>
    <w:rsid w:val="00185499"/>
    <w:rsid w:val="00191F63"/>
    <w:rsid w:val="00200C5A"/>
    <w:rsid w:val="00214291"/>
    <w:rsid w:val="00236FF3"/>
    <w:rsid w:val="00243818"/>
    <w:rsid w:val="002935F0"/>
    <w:rsid w:val="002A17A9"/>
    <w:rsid w:val="002F6362"/>
    <w:rsid w:val="002F7CE1"/>
    <w:rsid w:val="00303427"/>
    <w:rsid w:val="003057D7"/>
    <w:rsid w:val="00324B1D"/>
    <w:rsid w:val="0034156D"/>
    <w:rsid w:val="00345CA5"/>
    <w:rsid w:val="00356464"/>
    <w:rsid w:val="00395324"/>
    <w:rsid w:val="003A5A24"/>
    <w:rsid w:val="003E6B52"/>
    <w:rsid w:val="00425345"/>
    <w:rsid w:val="004271BA"/>
    <w:rsid w:val="004318EC"/>
    <w:rsid w:val="00436658"/>
    <w:rsid w:val="004416FA"/>
    <w:rsid w:val="00444325"/>
    <w:rsid w:val="0046481C"/>
    <w:rsid w:val="00465981"/>
    <w:rsid w:val="00472062"/>
    <w:rsid w:val="004A51CF"/>
    <w:rsid w:val="004B10A6"/>
    <w:rsid w:val="004B10CB"/>
    <w:rsid w:val="004C0155"/>
    <w:rsid w:val="004D6B48"/>
    <w:rsid w:val="004F0E0D"/>
    <w:rsid w:val="005279A1"/>
    <w:rsid w:val="00544BA8"/>
    <w:rsid w:val="00554936"/>
    <w:rsid w:val="00564A16"/>
    <w:rsid w:val="00580070"/>
    <w:rsid w:val="005A0CDD"/>
    <w:rsid w:val="00640476"/>
    <w:rsid w:val="00651F24"/>
    <w:rsid w:val="0066043E"/>
    <w:rsid w:val="00691593"/>
    <w:rsid w:val="006C0108"/>
    <w:rsid w:val="007171B1"/>
    <w:rsid w:val="00745931"/>
    <w:rsid w:val="00797DD9"/>
    <w:rsid w:val="007C7F36"/>
    <w:rsid w:val="007D36A5"/>
    <w:rsid w:val="007F36F3"/>
    <w:rsid w:val="007F5359"/>
    <w:rsid w:val="00815508"/>
    <w:rsid w:val="008159DA"/>
    <w:rsid w:val="00826206"/>
    <w:rsid w:val="00827E3F"/>
    <w:rsid w:val="008608AF"/>
    <w:rsid w:val="008874F8"/>
    <w:rsid w:val="008B3945"/>
    <w:rsid w:val="008B69C3"/>
    <w:rsid w:val="008C6F29"/>
    <w:rsid w:val="008F7F40"/>
    <w:rsid w:val="00905F6B"/>
    <w:rsid w:val="00911653"/>
    <w:rsid w:val="00953C21"/>
    <w:rsid w:val="00963ADE"/>
    <w:rsid w:val="009F54D5"/>
    <w:rsid w:val="00A053E9"/>
    <w:rsid w:val="00A217C5"/>
    <w:rsid w:val="00A90EB5"/>
    <w:rsid w:val="00A97E90"/>
    <w:rsid w:val="00AB527C"/>
    <w:rsid w:val="00AF2320"/>
    <w:rsid w:val="00AF4ACF"/>
    <w:rsid w:val="00B377E5"/>
    <w:rsid w:val="00B50A20"/>
    <w:rsid w:val="00B83E2A"/>
    <w:rsid w:val="00B8606C"/>
    <w:rsid w:val="00B87C5C"/>
    <w:rsid w:val="00BA5ECB"/>
    <w:rsid w:val="00BE03A0"/>
    <w:rsid w:val="00BE6FDD"/>
    <w:rsid w:val="00BF6F93"/>
    <w:rsid w:val="00C349F7"/>
    <w:rsid w:val="00C85B0D"/>
    <w:rsid w:val="00C93270"/>
    <w:rsid w:val="00CE1C11"/>
    <w:rsid w:val="00CF09BD"/>
    <w:rsid w:val="00D038D7"/>
    <w:rsid w:val="00D04A8E"/>
    <w:rsid w:val="00D1031D"/>
    <w:rsid w:val="00D108EE"/>
    <w:rsid w:val="00D1220B"/>
    <w:rsid w:val="00D262DD"/>
    <w:rsid w:val="00D535AA"/>
    <w:rsid w:val="00D63546"/>
    <w:rsid w:val="00D71D91"/>
    <w:rsid w:val="00D86E17"/>
    <w:rsid w:val="00DC4643"/>
    <w:rsid w:val="00DD79F9"/>
    <w:rsid w:val="00E4659C"/>
    <w:rsid w:val="00E57E89"/>
    <w:rsid w:val="00E608E1"/>
    <w:rsid w:val="00E62824"/>
    <w:rsid w:val="00E874CC"/>
    <w:rsid w:val="00E95390"/>
    <w:rsid w:val="00EB36A7"/>
    <w:rsid w:val="00ED1C0F"/>
    <w:rsid w:val="00EE4E70"/>
    <w:rsid w:val="00EF37BC"/>
    <w:rsid w:val="00F13B2F"/>
    <w:rsid w:val="00F15084"/>
    <w:rsid w:val="00F35FC0"/>
    <w:rsid w:val="00F56BA2"/>
    <w:rsid w:val="00F71EBB"/>
    <w:rsid w:val="00F810C4"/>
    <w:rsid w:val="00F94C46"/>
    <w:rsid w:val="00F97D80"/>
    <w:rsid w:val="00FC11EA"/>
    <w:rsid w:val="00FF610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556A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6A5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01">
    <w:name w:val="fontstyle01"/>
    <w:basedOn w:val="a0"/>
    <w:rsid w:val="00D63546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E579-8574-4F80-A121-5EFE72F2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Станіслав Володимирович</dc:creator>
  <cp:keywords/>
  <dc:description/>
  <cp:lastModifiedBy>Воробйов Вадим Леонідович</cp:lastModifiedBy>
  <cp:revision>8</cp:revision>
  <cp:lastPrinted>2022-11-11T07:13:00Z</cp:lastPrinted>
  <dcterms:created xsi:type="dcterms:W3CDTF">2023-06-13T12:51:00Z</dcterms:created>
  <dcterms:modified xsi:type="dcterms:W3CDTF">2023-06-15T06:55:00Z</dcterms:modified>
</cp:coreProperties>
</file>