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C15941" w:rsidRDefault="00E12961" w:rsidP="00E12961">
                  <w:pPr>
                    <w:spacing w:after="0" w:line="240" w:lineRule="auto"/>
                    <w:rPr>
                      <w:rFonts w:ascii="Times New Roman" w:eastAsia="Times New Roman" w:hAnsi="Times New Roman"/>
                      <w:b/>
                      <w:bCs/>
                      <w:color w:val="FF0000"/>
                      <w:sz w:val="24"/>
                      <w:szCs w:val="24"/>
                      <w:lang w:val="uk-UA" w:eastAsia="ru-RU"/>
                    </w:rPr>
                  </w:pPr>
                  <w:r w:rsidRPr="00C15941">
                    <w:rPr>
                      <w:rFonts w:ascii="Times New Roman" w:eastAsia="Times New Roman" w:hAnsi="Times New Roman"/>
                      <w:b/>
                      <w:bCs/>
                      <w:color w:val="FF0000"/>
                      <w:sz w:val="24"/>
                      <w:szCs w:val="24"/>
                      <w:lang w:val="uk-UA" w:eastAsia="ru-RU"/>
                    </w:rPr>
                    <w:t xml:space="preserve">особи  № </w:t>
                  </w:r>
                  <w:r w:rsidR="00042A17" w:rsidRPr="00C15941">
                    <w:rPr>
                      <w:rFonts w:ascii="Times New Roman" w:eastAsia="Times New Roman" w:hAnsi="Times New Roman"/>
                      <w:b/>
                      <w:bCs/>
                      <w:color w:val="FF0000"/>
                      <w:sz w:val="24"/>
                      <w:szCs w:val="24"/>
                      <w:lang w:val="uk-UA" w:eastAsia="ru-RU"/>
                    </w:rPr>
                    <w:t>8</w:t>
                  </w:r>
                  <w:r w:rsidR="003259AF">
                    <w:rPr>
                      <w:rFonts w:ascii="Times New Roman" w:eastAsia="Times New Roman" w:hAnsi="Times New Roman"/>
                      <w:b/>
                      <w:bCs/>
                      <w:color w:val="FF0000"/>
                      <w:sz w:val="24"/>
                      <w:szCs w:val="24"/>
                      <w:lang w:val="uk-UA" w:eastAsia="ru-RU"/>
                    </w:rPr>
                    <w:t>4</w:t>
                  </w:r>
                </w:p>
                <w:p w:rsidR="00E12961" w:rsidRPr="00C15941" w:rsidRDefault="00E12961" w:rsidP="00E12961">
                  <w:pPr>
                    <w:spacing w:after="0" w:line="240" w:lineRule="auto"/>
                    <w:rPr>
                      <w:rFonts w:ascii="Times New Roman" w:eastAsia="Times New Roman" w:hAnsi="Times New Roman"/>
                      <w:b/>
                      <w:bCs/>
                      <w:color w:val="FF0000"/>
                      <w:sz w:val="24"/>
                      <w:szCs w:val="24"/>
                      <w:lang w:val="uk-UA" w:eastAsia="ru-RU"/>
                    </w:rPr>
                  </w:pPr>
                  <w:r w:rsidRPr="00C15941">
                    <w:rPr>
                      <w:rFonts w:ascii="Times New Roman" w:eastAsia="Times New Roman" w:hAnsi="Times New Roman"/>
                      <w:b/>
                      <w:bCs/>
                      <w:color w:val="FF0000"/>
                      <w:sz w:val="24"/>
                      <w:szCs w:val="24"/>
                      <w:lang w:val="uk-UA" w:eastAsia="ru-RU"/>
                    </w:rPr>
                    <w:t xml:space="preserve">від </w:t>
                  </w:r>
                  <w:r w:rsidR="00042A17" w:rsidRPr="00C15941">
                    <w:rPr>
                      <w:rFonts w:ascii="Times New Roman" w:eastAsia="Times New Roman" w:hAnsi="Times New Roman"/>
                      <w:b/>
                      <w:bCs/>
                      <w:color w:val="FF0000"/>
                      <w:sz w:val="24"/>
                      <w:szCs w:val="24"/>
                      <w:lang w:val="uk-UA" w:eastAsia="ru-RU"/>
                    </w:rPr>
                    <w:t>1</w:t>
                  </w:r>
                  <w:r w:rsidR="003259AF">
                    <w:rPr>
                      <w:rFonts w:ascii="Times New Roman" w:eastAsia="Times New Roman" w:hAnsi="Times New Roman"/>
                      <w:b/>
                      <w:bCs/>
                      <w:color w:val="FF0000"/>
                      <w:sz w:val="24"/>
                      <w:szCs w:val="24"/>
                      <w:lang w:val="uk-UA" w:eastAsia="ru-RU"/>
                    </w:rPr>
                    <w:t>6</w:t>
                  </w:r>
                  <w:r w:rsidRPr="00C15941">
                    <w:rPr>
                      <w:rFonts w:ascii="Times New Roman" w:eastAsia="Times New Roman" w:hAnsi="Times New Roman"/>
                      <w:b/>
                      <w:bCs/>
                      <w:color w:val="FF0000"/>
                      <w:sz w:val="24"/>
                      <w:szCs w:val="24"/>
                      <w:lang w:val="uk-UA" w:eastAsia="ru-RU"/>
                    </w:rPr>
                    <w:t xml:space="preserve"> березня</w:t>
                  </w:r>
                  <w:r w:rsidR="003259AF">
                    <w:rPr>
                      <w:rFonts w:ascii="Times New Roman" w:eastAsia="Times New Roman" w:hAnsi="Times New Roman"/>
                      <w:b/>
                      <w:bCs/>
                      <w:color w:val="FF0000"/>
                      <w:sz w:val="24"/>
                      <w:szCs w:val="24"/>
                      <w:lang w:val="uk-UA" w:eastAsia="ru-RU"/>
                    </w:rPr>
                    <w:t xml:space="preserve"> </w:t>
                  </w:r>
                  <w:r w:rsidRPr="00C15941">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6D1F71" w:rsidRDefault="00B91FAA" w:rsidP="00B91FAA">
      <w:pPr>
        <w:spacing w:after="0" w:line="240" w:lineRule="auto"/>
        <w:jc w:val="center"/>
        <w:rPr>
          <w:rFonts w:ascii="Times New Roman" w:hAnsi="Times New Roman"/>
          <w:b/>
          <w:bCs/>
          <w:sz w:val="24"/>
          <w:szCs w:val="24"/>
          <w:lang w:val="uk-UA"/>
        </w:rPr>
      </w:pPr>
      <w:r w:rsidRPr="006D1F71">
        <w:rPr>
          <w:rFonts w:ascii="Times New Roman" w:hAnsi="Times New Roman"/>
          <w:b/>
          <w:bCs/>
          <w:sz w:val="24"/>
          <w:szCs w:val="24"/>
          <w:lang w:val="uk-UA"/>
        </w:rPr>
        <w:t xml:space="preserve">ВІДКРИТІ ТОРГИ З ОСОБЛИВОСТЯМИ </w:t>
      </w:r>
    </w:p>
    <w:p w:rsidR="00B91FAA" w:rsidRPr="006D1F71" w:rsidRDefault="00B91FAA" w:rsidP="00B91FAA">
      <w:pPr>
        <w:spacing w:after="0" w:line="240" w:lineRule="auto"/>
        <w:jc w:val="center"/>
        <w:rPr>
          <w:rFonts w:ascii="Times New Roman" w:hAnsi="Times New Roman"/>
          <w:sz w:val="24"/>
          <w:szCs w:val="24"/>
          <w:lang w:val="uk-UA"/>
        </w:rPr>
      </w:pP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6D1F71">
        <w:rPr>
          <w:rFonts w:ascii="Times New Roman" w:hAnsi="Times New Roman"/>
          <w:b/>
          <w:bCs/>
          <w:sz w:val="24"/>
          <w:szCs w:val="24"/>
          <w:bdr w:val="none" w:sz="0" w:space="0" w:color="auto" w:frame="1"/>
          <w:lang w:val="uk-UA"/>
        </w:rPr>
        <w:t>ПРЕДМЕТ ЗАКУПІВЛІ</w:t>
      </w: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E12961" w:rsidRPr="003259AF" w:rsidRDefault="0004510A" w:rsidP="00E12961">
      <w:pPr>
        <w:tabs>
          <w:tab w:val="left" w:pos="4771"/>
        </w:tabs>
        <w:suppressAutoHyphens/>
        <w:spacing w:after="0" w:line="240" w:lineRule="auto"/>
        <w:ind w:left="6" w:right="-8" w:firstLine="14"/>
        <w:contextualSpacing/>
        <w:jc w:val="center"/>
        <w:rPr>
          <w:rFonts w:ascii="Times New Roman" w:eastAsia="Times New Roman" w:hAnsi="Times New Roman"/>
          <w:b/>
        </w:rPr>
      </w:pPr>
      <w:r w:rsidRPr="006D1F71">
        <w:rPr>
          <w:rFonts w:ascii="Times New Roman" w:hAnsi="Times New Roman"/>
          <w:b/>
          <w:sz w:val="24"/>
          <w:szCs w:val="24"/>
          <w:lang w:val="uk-UA"/>
        </w:rPr>
        <w:t xml:space="preserve">Торцеве ущільнення </w:t>
      </w:r>
      <w:r w:rsidR="00074D0E" w:rsidRPr="006D1F71">
        <w:rPr>
          <w:rFonts w:ascii="Times New Roman" w:eastAsia="Times New Roman" w:hAnsi="Times New Roman"/>
          <w:b/>
          <w:lang w:val="uk-UA"/>
        </w:rPr>
        <w:t>до насосу</w:t>
      </w:r>
      <w:r w:rsidR="003259AF">
        <w:rPr>
          <w:rFonts w:ascii="Times New Roman" w:eastAsia="Times New Roman" w:hAnsi="Times New Roman"/>
          <w:b/>
          <w:lang w:val="uk-UA"/>
        </w:rPr>
        <w:t xml:space="preserve"> </w:t>
      </w:r>
      <w:r w:rsidR="003259AF">
        <w:rPr>
          <w:rFonts w:ascii="Times New Roman" w:eastAsia="Times New Roman" w:hAnsi="Times New Roman"/>
          <w:b/>
          <w:lang w:val="en-US"/>
        </w:rPr>
        <w:t>Calpeda</w:t>
      </w:r>
      <w:r w:rsidR="003259AF" w:rsidRPr="003259AF">
        <w:rPr>
          <w:rFonts w:ascii="Times New Roman" w:eastAsia="Times New Roman" w:hAnsi="Times New Roman"/>
          <w:b/>
        </w:rPr>
        <w:t xml:space="preserve"> </w:t>
      </w:r>
      <w:r w:rsidR="003259AF">
        <w:rPr>
          <w:rFonts w:ascii="Times New Roman" w:eastAsia="Times New Roman" w:hAnsi="Times New Roman"/>
          <w:b/>
          <w:lang w:val="en-US"/>
        </w:rPr>
        <w:t>NR</w:t>
      </w:r>
      <w:r w:rsidR="003259AF" w:rsidRPr="003259AF">
        <w:rPr>
          <w:rFonts w:ascii="Times New Roman" w:eastAsia="Times New Roman" w:hAnsi="Times New Roman"/>
          <w:b/>
        </w:rPr>
        <w:t xml:space="preserve">65/160 </w:t>
      </w:r>
      <w:r w:rsidR="003259AF">
        <w:rPr>
          <w:rFonts w:ascii="Times New Roman" w:eastAsia="Times New Roman" w:hAnsi="Times New Roman"/>
          <w:b/>
          <w:lang w:val="en-US"/>
        </w:rPr>
        <w:t>A</w:t>
      </w:r>
      <w:r w:rsidR="003259AF" w:rsidRPr="003259AF">
        <w:rPr>
          <w:rFonts w:ascii="Times New Roman" w:eastAsia="Times New Roman" w:hAnsi="Times New Roman"/>
          <w:b/>
        </w:rPr>
        <w:t>/</w:t>
      </w:r>
      <w:r w:rsidR="003259AF">
        <w:rPr>
          <w:rFonts w:ascii="Times New Roman" w:eastAsia="Times New Roman" w:hAnsi="Times New Roman"/>
          <w:b/>
          <w:lang w:val="en-US"/>
        </w:rPr>
        <w:t>A</w:t>
      </w:r>
    </w:p>
    <w:p w:rsidR="003259AF" w:rsidRPr="006D1F71" w:rsidRDefault="003259AF" w:rsidP="00E12961">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rsidR="0004510A" w:rsidRPr="006D1F71" w:rsidRDefault="00E12961" w:rsidP="0004510A">
      <w:pPr>
        <w:spacing w:after="0" w:line="240" w:lineRule="auto"/>
        <w:jc w:val="center"/>
        <w:rPr>
          <w:rFonts w:ascii="Times New Roman" w:hAnsi="Times New Roman"/>
          <w:lang w:val="uk-UA"/>
        </w:rPr>
      </w:pPr>
      <w:r w:rsidRPr="006D1F71">
        <w:rPr>
          <w:rFonts w:ascii="Times New Roman" w:eastAsia="Times New Roman" w:hAnsi="Times New Roman"/>
          <w:b/>
          <w:sz w:val="24"/>
          <w:szCs w:val="24"/>
          <w:lang w:val="uk-UA"/>
        </w:rPr>
        <w:t xml:space="preserve">Код ДК 021:2015, </w:t>
      </w:r>
      <w:r w:rsidR="0004510A" w:rsidRPr="006D1F71">
        <w:rPr>
          <w:rFonts w:ascii="Times New Roman" w:eastAsia="Times New Roman" w:hAnsi="Times New Roman"/>
          <w:b/>
          <w:sz w:val="24"/>
          <w:szCs w:val="24"/>
          <w:lang w:val="uk-UA"/>
        </w:rPr>
        <w:t xml:space="preserve">Код ДК 021:2015, код </w:t>
      </w:r>
      <w:r w:rsidR="0004510A" w:rsidRPr="006D1F71">
        <w:rPr>
          <w:rFonts w:ascii="Times New Roman" w:hAnsi="Times New Roman"/>
          <w:b/>
          <w:sz w:val="24"/>
          <w:szCs w:val="24"/>
          <w:lang w:val="uk-UA"/>
        </w:rPr>
        <w:t>42120000-6 - Насоси та компресори (42124290-3-Частини відцентрових насосів)</w:t>
      </w:r>
    </w:p>
    <w:p w:rsidR="00B91FAA" w:rsidRPr="006D1F71" w:rsidRDefault="00B91FAA" w:rsidP="00375F24">
      <w:pPr>
        <w:jc w:val="center"/>
        <w:rPr>
          <w:rFonts w:ascii="Times New Roman" w:hAnsi="Times New Roman"/>
          <w:lang w:val="uk-UA"/>
        </w:rPr>
      </w:pPr>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Pr="006D1F71" w:rsidRDefault="008A0E14" w:rsidP="00375F24">
      <w:pPr>
        <w:jc w:val="center"/>
        <w:rPr>
          <w:rFonts w:ascii="Times New Roman" w:hAnsi="Times New Roman"/>
          <w:lang w:val="uk-UA"/>
        </w:rPr>
      </w:pPr>
    </w:p>
    <w:p w:rsidR="008A0E14" w:rsidRPr="006D1F71" w:rsidRDefault="008A0E14"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6D1F71"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rsidR="000137D0" w:rsidRPr="006D1F71" w:rsidRDefault="00590480" w:rsidP="00590480">
            <w:pPr>
              <w:tabs>
                <w:tab w:val="left" w:pos="4771"/>
              </w:tabs>
              <w:suppressAutoHyphens/>
              <w:spacing w:after="0" w:line="240" w:lineRule="auto"/>
              <w:ind w:left="6" w:right="-8" w:firstLine="14"/>
              <w:contextualSpacing/>
              <w:rPr>
                <w:rFonts w:ascii="Times New Roman" w:hAnsi="Times New Roman"/>
                <w:b/>
                <w:sz w:val="24"/>
                <w:szCs w:val="24"/>
                <w:lang w:val="uk-UA"/>
              </w:rPr>
            </w:pPr>
            <w:r w:rsidRPr="006D1F71">
              <w:rPr>
                <w:rFonts w:ascii="Times New Roman" w:eastAsia="Times New Roman" w:hAnsi="Times New Roman"/>
                <w:b/>
                <w:lang w:val="uk-UA"/>
              </w:rPr>
              <w:t xml:space="preserve">Торцеве ущільнення до насосу </w:t>
            </w:r>
            <w:r w:rsidR="003259AF">
              <w:rPr>
                <w:rFonts w:ascii="Times New Roman" w:eastAsia="Times New Roman" w:hAnsi="Times New Roman"/>
                <w:b/>
                <w:lang w:val="en-US"/>
              </w:rPr>
              <w:t>Calpeda</w:t>
            </w:r>
            <w:r w:rsidR="003259AF" w:rsidRPr="003259AF">
              <w:rPr>
                <w:rFonts w:ascii="Times New Roman" w:eastAsia="Times New Roman" w:hAnsi="Times New Roman"/>
                <w:b/>
              </w:rPr>
              <w:t xml:space="preserve"> </w:t>
            </w:r>
            <w:r w:rsidR="003259AF">
              <w:rPr>
                <w:rFonts w:ascii="Times New Roman" w:eastAsia="Times New Roman" w:hAnsi="Times New Roman"/>
                <w:b/>
                <w:lang w:val="en-US"/>
              </w:rPr>
              <w:t>NR</w:t>
            </w:r>
            <w:r w:rsidR="003259AF" w:rsidRPr="003259AF">
              <w:rPr>
                <w:rFonts w:ascii="Times New Roman" w:eastAsia="Times New Roman" w:hAnsi="Times New Roman"/>
                <w:b/>
              </w:rPr>
              <w:t xml:space="preserve">65/160 </w:t>
            </w:r>
            <w:r w:rsidR="003259AF">
              <w:rPr>
                <w:rFonts w:ascii="Times New Roman" w:eastAsia="Times New Roman" w:hAnsi="Times New Roman"/>
                <w:b/>
                <w:lang w:val="en-US"/>
              </w:rPr>
              <w:t>A</w:t>
            </w:r>
            <w:r w:rsidR="003259AF" w:rsidRPr="003259AF">
              <w:rPr>
                <w:rFonts w:ascii="Times New Roman" w:eastAsia="Times New Roman" w:hAnsi="Times New Roman"/>
                <w:b/>
              </w:rPr>
              <w:t>/</w:t>
            </w:r>
            <w:r w:rsidR="003259AF">
              <w:rPr>
                <w:rFonts w:ascii="Times New Roman" w:eastAsia="Times New Roman" w:hAnsi="Times New Roman"/>
                <w:b/>
                <w:lang w:val="en-US"/>
              </w:rPr>
              <w:t>A</w:t>
            </w:r>
            <w:r w:rsidRPr="006D1F71">
              <w:rPr>
                <w:rFonts w:ascii="Times New Roman" w:eastAsia="Times New Roman" w:hAnsi="Times New Roman"/>
                <w:b/>
                <w:lang w:val="uk-UA"/>
              </w:rPr>
              <w:t xml:space="preserve"> К</w:t>
            </w:r>
            <w:r w:rsidRPr="006D1F71">
              <w:rPr>
                <w:rFonts w:ascii="Times New Roman" w:hAnsi="Times New Roman"/>
                <w:b/>
                <w:lang w:val="uk-UA"/>
              </w:rPr>
              <w:t>од за ДК 021:2015: 42120000-6 - Насоси та компресори (42124290-3-Частини відцентрових насосів)</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М.Міхновського, 48В.</w:t>
            </w:r>
          </w:p>
          <w:p w:rsidR="00E71A06" w:rsidRPr="006D1F71" w:rsidRDefault="00E12961" w:rsidP="003259A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Кількість поставки: </w:t>
            </w:r>
            <w:r w:rsidR="00590480" w:rsidRPr="006D1F71">
              <w:rPr>
                <w:rFonts w:ascii="Times New Roman" w:eastAsia="Times New Roman" w:hAnsi="Times New Roman"/>
                <w:b/>
                <w:lang w:val="uk-UA"/>
              </w:rPr>
              <w:t xml:space="preserve">Торцеве ущільнення до насосу </w:t>
            </w:r>
            <w:r w:rsidR="003259AF">
              <w:rPr>
                <w:rFonts w:ascii="Times New Roman" w:eastAsia="Times New Roman" w:hAnsi="Times New Roman"/>
                <w:b/>
                <w:lang w:val="en-US"/>
              </w:rPr>
              <w:t>Calpeda</w:t>
            </w:r>
            <w:r w:rsidR="003259AF" w:rsidRPr="003259AF">
              <w:rPr>
                <w:rFonts w:ascii="Times New Roman" w:eastAsia="Times New Roman" w:hAnsi="Times New Roman"/>
                <w:b/>
              </w:rPr>
              <w:t xml:space="preserve"> </w:t>
            </w:r>
            <w:r w:rsidR="003259AF">
              <w:rPr>
                <w:rFonts w:ascii="Times New Roman" w:eastAsia="Times New Roman" w:hAnsi="Times New Roman"/>
                <w:b/>
                <w:lang w:val="en-US"/>
              </w:rPr>
              <w:t>NR</w:t>
            </w:r>
            <w:r w:rsidR="003259AF" w:rsidRPr="003259AF">
              <w:rPr>
                <w:rFonts w:ascii="Times New Roman" w:eastAsia="Times New Roman" w:hAnsi="Times New Roman"/>
                <w:b/>
              </w:rPr>
              <w:t xml:space="preserve">65/160 </w:t>
            </w:r>
            <w:r w:rsidR="003259AF">
              <w:rPr>
                <w:rFonts w:ascii="Times New Roman" w:eastAsia="Times New Roman" w:hAnsi="Times New Roman"/>
                <w:b/>
                <w:lang w:val="en-US"/>
              </w:rPr>
              <w:t>A</w:t>
            </w:r>
            <w:r w:rsidR="003259AF" w:rsidRPr="003259AF">
              <w:rPr>
                <w:rFonts w:ascii="Times New Roman" w:eastAsia="Times New Roman" w:hAnsi="Times New Roman"/>
                <w:b/>
              </w:rPr>
              <w:t>/</w:t>
            </w:r>
            <w:r w:rsidR="003259AF">
              <w:rPr>
                <w:rFonts w:ascii="Times New Roman" w:eastAsia="Times New Roman" w:hAnsi="Times New Roman"/>
                <w:b/>
                <w:lang w:val="en-US"/>
              </w:rPr>
              <w:t>A</w:t>
            </w:r>
            <w:r w:rsidR="00590480" w:rsidRPr="006D1F71">
              <w:rPr>
                <w:rFonts w:ascii="Times New Roman" w:eastAsia="Times New Roman" w:hAnsi="Times New Roman"/>
                <w:b/>
                <w:lang w:val="uk-UA"/>
              </w:rPr>
              <w:t xml:space="preserve"> </w:t>
            </w:r>
            <w:r w:rsidRPr="006D1F71">
              <w:rPr>
                <w:rFonts w:ascii="Times New Roman" w:eastAsia="Times New Roman" w:hAnsi="Times New Roman"/>
                <w:b/>
                <w:lang w:val="uk-UA"/>
              </w:rPr>
              <w:t xml:space="preserve">- </w:t>
            </w:r>
            <w:r w:rsidR="003259AF" w:rsidRPr="003259AF">
              <w:rPr>
                <w:rFonts w:ascii="Times New Roman" w:eastAsia="Times New Roman" w:hAnsi="Times New Roman"/>
                <w:b/>
              </w:rPr>
              <w:t>2</w:t>
            </w:r>
            <w:r w:rsidRPr="006D1F71">
              <w:rPr>
                <w:rFonts w:ascii="Times New Roman" w:eastAsia="Times New Roman" w:hAnsi="Times New Roman"/>
                <w:b/>
                <w:lang w:val="uk-UA"/>
              </w:rPr>
              <w:t xml:space="preserve"> </w:t>
            </w:r>
            <w:r w:rsidR="00434364">
              <w:rPr>
                <w:rFonts w:ascii="Times New Roman" w:eastAsia="Times New Roman" w:hAnsi="Times New Roman"/>
                <w:b/>
                <w:lang w:val="uk-UA"/>
              </w:rPr>
              <w:t>комплект</w:t>
            </w:r>
            <w:r w:rsidR="003259AF">
              <w:rPr>
                <w:rFonts w:ascii="Times New Roman" w:eastAsia="Times New Roman" w:hAnsi="Times New Roman"/>
                <w:b/>
                <w:lang w:val="uk-UA"/>
              </w:rPr>
              <w:t>и</w:t>
            </w:r>
            <w:r w:rsidRPr="006D1F71">
              <w:rPr>
                <w:rFonts w:ascii="Times New Roman" w:eastAsia="Times New Roman" w:hAnsi="Times New Roman"/>
                <w:b/>
                <w:lang w:val="uk-UA"/>
              </w:rPr>
              <w:t xml:space="preserve"> (згідно технічного завдання)</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C92DB6" w:rsidRPr="003259AF" w:rsidRDefault="00E71A06" w:rsidP="00613746">
            <w:pPr>
              <w:spacing w:after="0" w:line="240" w:lineRule="auto"/>
              <w:contextualSpacing/>
              <w:rPr>
                <w:rFonts w:ascii="Times New Roman" w:eastAsia="Times New Roman" w:hAnsi="Times New Roman"/>
                <w:b/>
                <w:color w:val="FF0000"/>
                <w:lang w:val="uk-UA" w:eastAsia="ru-RU"/>
              </w:rPr>
            </w:pPr>
            <w:r w:rsidRPr="003259AF">
              <w:rPr>
                <w:rFonts w:ascii="Times New Roman" w:eastAsia="Times New Roman" w:hAnsi="Times New Roman"/>
                <w:b/>
                <w:color w:val="FF0000"/>
                <w:lang w:val="uk-UA" w:eastAsia="ru-RU"/>
              </w:rPr>
              <w:t xml:space="preserve">До </w:t>
            </w:r>
            <w:r w:rsidR="00C34907" w:rsidRPr="003259AF">
              <w:rPr>
                <w:rFonts w:ascii="Times New Roman" w:eastAsia="Times New Roman" w:hAnsi="Times New Roman"/>
                <w:b/>
                <w:color w:val="FF0000"/>
                <w:lang w:val="uk-UA" w:eastAsia="ru-RU"/>
              </w:rPr>
              <w:t>1</w:t>
            </w:r>
            <w:r w:rsidR="003259AF" w:rsidRPr="003259AF">
              <w:rPr>
                <w:rFonts w:ascii="Times New Roman" w:eastAsia="Times New Roman" w:hAnsi="Times New Roman"/>
                <w:b/>
                <w:color w:val="FF0000"/>
                <w:lang w:val="uk-UA" w:eastAsia="ru-RU"/>
              </w:rPr>
              <w:t>6</w:t>
            </w:r>
            <w:r w:rsidR="00C34907" w:rsidRPr="003259AF">
              <w:rPr>
                <w:rFonts w:ascii="Times New Roman" w:eastAsia="Times New Roman" w:hAnsi="Times New Roman"/>
                <w:b/>
                <w:color w:val="FF0000"/>
                <w:lang w:val="uk-UA" w:eastAsia="ru-RU"/>
              </w:rPr>
              <w:t>.04</w:t>
            </w:r>
            <w:r w:rsidR="00E12961" w:rsidRPr="003259AF">
              <w:rPr>
                <w:rFonts w:ascii="Times New Roman" w:eastAsia="Times New Roman" w:hAnsi="Times New Roman"/>
                <w:b/>
                <w:color w:val="FF0000"/>
                <w:lang w:val="uk-UA" w:eastAsia="ru-RU"/>
              </w:rPr>
              <w:t>.</w:t>
            </w:r>
            <w:r w:rsidR="00052736" w:rsidRPr="003259AF">
              <w:rPr>
                <w:rFonts w:ascii="Times New Roman" w:eastAsia="Times New Roman" w:hAnsi="Times New Roman"/>
                <w:b/>
                <w:color w:val="FF0000"/>
                <w:lang w:val="uk-UA" w:eastAsia="ru-RU"/>
              </w:rPr>
              <w:t>2023</w:t>
            </w:r>
            <w:r w:rsidR="003259AF">
              <w:rPr>
                <w:rFonts w:ascii="Times New Roman" w:eastAsia="Times New Roman" w:hAnsi="Times New Roman"/>
                <w:b/>
                <w:color w:val="FF0000"/>
                <w:lang w:val="uk-UA" w:eastAsia="ru-RU"/>
              </w:rPr>
              <w:t xml:space="preserve"> року</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rsidR="00D51B6A" w:rsidRPr="006D1F71" w:rsidRDefault="00AB737C" w:rsidP="00CA606A">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1</w:t>
            </w:r>
            <w:r w:rsidR="00CA606A">
              <w:rPr>
                <w:rFonts w:ascii="Times New Roman" w:eastAsia="Times New Roman" w:hAnsi="Times New Roman"/>
                <w:b/>
                <w:lang w:val="uk-UA" w:eastAsia="ru-RU"/>
              </w:rPr>
              <w:t>9</w:t>
            </w:r>
            <w:r>
              <w:rPr>
                <w:rFonts w:ascii="Times New Roman" w:eastAsia="Times New Roman" w:hAnsi="Times New Roman"/>
                <w:b/>
                <w:lang w:val="uk-UA" w:eastAsia="ru-RU"/>
              </w:rPr>
              <w:t>60</w:t>
            </w:r>
            <w:r w:rsidR="003259AF">
              <w:rPr>
                <w:rFonts w:ascii="Times New Roman" w:eastAsia="Times New Roman" w:hAnsi="Times New Roman"/>
                <w:b/>
                <w:lang w:val="uk-UA" w:eastAsia="ru-RU"/>
              </w:rPr>
              <w:t xml:space="preserve"> </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 xml:space="preserve">Одна тисяча </w:t>
            </w:r>
            <w:r w:rsidR="00CA606A">
              <w:rPr>
                <w:rFonts w:ascii="Times New Roman" w:eastAsia="Times New Roman" w:hAnsi="Times New Roman"/>
                <w:b/>
                <w:lang w:val="uk-UA" w:eastAsia="ru-RU"/>
              </w:rPr>
              <w:t>дев’ятсот</w:t>
            </w:r>
            <w:r>
              <w:rPr>
                <w:rFonts w:ascii="Times New Roman" w:eastAsia="Times New Roman" w:hAnsi="Times New Roman"/>
                <w:b/>
                <w:lang w:val="uk-UA" w:eastAsia="ru-RU"/>
              </w:rPr>
              <w:t xml:space="preserve"> шістдесят </w:t>
            </w:r>
            <w:r w:rsidR="00D51B6A" w:rsidRPr="006D1F71">
              <w:rPr>
                <w:rFonts w:ascii="Times New Roman" w:eastAsia="Times New Roman" w:hAnsi="Times New Roman"/>
                <w:b/>
                <w:lang w:val="uk-UA" w:eastAsia="ru-RU"/>
              </w:rPr>
              <w:t>грн. 00 коп. з ПДВ)</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rsidR="00955D41"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w:t>
            </w:r>
            <w:r w:rsidRPr="006D1F71">
              <w:rPr>
                <w:rFonts w:ascii="Times New Roman" w:eastAsia="Times New Roman" w:hAnsi="Times New Roman"/>
                <w:lang w:val="uk-UA" w:eastAsia="ru-RU"/>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6D1F71">
              <w:rPr>
                <w:rFonts w:ascii="Times New Roman" w:hAnsi="Times New Roman"/>
                <w:color w:val="000000"/>
                <w:shd w:val="solid" w:color="FFFFFF" w:fill="FFFFFF"/>
                <w:lang w:val="uk-UA"/>
              </w:rPr>
              <w:lastRenderedPageBreak/>
              <w:t>зупиняє перебіг відкритих торгів.</w:t>
            </w:r>
          </w:p>
          <w:p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w:t>
            </w:r>
            <w:r w:rsidRPr="006D1F71">
              <w:rPr>
                <w:rFonts w:ascii="Times New Roman" w:hAnsi="Times New Roman"/>
                <w:color w:val="000000"/>
                <w:shd w:val="clear" w:color="auto" w:fill="FFFFFF"/>
                <w:lang w:val="uk-UA"/>
              </w:rPr>
              <w:lastRenderedPageBreak/>
              <w:t xml:space="preserve">відповідає дійсності, та встановити, що така помилка не навмисна. До формальних (несуттєвих) помилок відносяться: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гарантійний лист щодо погодження з проє</w:t>
            </w:r>
            <w:r w:rsidRPr="006D1F71">
              <w:rPr>
                <w:rFonts w:ascii="Times New Roman" w:hAnsi="Times New Roman"/>
                <w:b/>
                <w:color w:val="000000"/>
                <w:shd w:val="clear" w:color="auto" w:fill="FFFFFF"/>
                <w:lang w:val="uk-UA"/>
              </w:rPr>
              <w:t>ктом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rsidR="004F7D75"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6D1F71">
              <w:rPr>
                <w:rFonts w:ascii="Times New Roman" w:hAnsi="Times New Roman"/>
                <w:color w:val="000000"/>
                <w:shd w:val="clear" w:color="auto" w:fill="FFFFFF"/>
                <w:lang w:val="uk-UA"/>
              </w:rPr>
              <w:lastRenderedPageBreak/>
              <w:t xml:space="preserve">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Перелік документів, які</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вимагаються замовником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для підтвердження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відповідності учасника</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кваліфікаційним критеріям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встановленим статтею 16</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закону та документів</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необхідних для визначення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переможця</w:t>
            </w:r>
          </w:p>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p>
        </w:tc>
        <w:tc>
          <w:tcPr>
            <w:tcW w:w="3229" w:type="pct"/>
            <w:tcBorders>
              <w:top w:val="outset" w:sz="6" w:space="0" w:color="auto"/>
              <w:left w:val="outset" w:sz="6" w:space="0" w:color="auto"/>
              <w:bottom w:val="outset" w:sz="6" w:space="0" w:color="auto"/>
              <w:right w:val="outset" w:sz="6" w:space="0" w:color="auto"/>
            </w:tcBorders>
          </w:tcPr>
          <w:p w:rsidR="00E53B01" w:rsidRPr="006D1F71" w:rsidRDefault="00E53B01" w:rsidP="00E53B01">
            <w:pPr>
              <w:widowControl w:val="0"/>
              <w:spacing w:after="0" w:line="240" w:lineRule="auto"/>
              <w:contextualSpacing/>
              <w:jc w:val="both"/>
              <w:rPr>
                <w:rFonts w:ascii="Times New Roman" w:hAnsi="Times New Roman"/>
                <w:b/>
                <w:lang w:val="uk-UA"/>
              </w:rPr>
            </w:pPr>
            <w:r w:rsidRPr="006D1F71">
              <w:rPr>
                <w:rFonts w:ascii="Times New Roman" w:hAnsi="Times New Roman"/>
                <w:b/>
                <w:lang w:val="uk-UA"/>
              </w:rPr>
              <w:t xml:space="preserve">Згідно з даною тендерною документацією (Додаток № 1 тендерної документації), учасник подає, як частину його тендерної пропозиції, перелік документів необхідних для визначення переможця. </w:t>
            </w:r>
          </w:p>
          <w:p w:rsidR="004F7D75" w:rsidRPr="006D1F71" w:rsidRDefault="00E53B01" w:rsidP="004F7D75">
            <w:pPr>
              <w:widowControl w:val="0"/>
              <w:spacing w:after="0" w:line="240" w:lineRule="auto"/>
              <w:contextualSpacing/>
              <w:jc w:val="both"/>
              <w:rPr>
                <w:rFonts w:ascii="Times New Roman" w:hAnsi="Times New Roman"/>
                <w:lang w:val="uk-UA"/>
              </w:rPr>
            </w:pPr>
            <w:r w:rsidRPr="006D1F71">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4793D" w:rsidRPr="006D1F71" w:rsidRDefault="00E53B01" w:rsidP="004F7D75">
            <w:pPr>
              <w:widowControl w:val="0"/>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71A06"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w:t>
            </w:r>
            <w:r w:rsidRPr="006D1F71">
              <w:rPr>
                <w:rFonts w:ascii="Times New Roman" w:hAnsi="Times New Roman"/>
                <w:lang w:val="uk-UA"/>
              </w:rPr>
              <w:lastRenderedPageBreak/>
              <w:t xml:space="preserve">завдання) згідно з частиною другою статті 22 Закону. </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7.</w:t>
            </w:r>
          </w:p>
        </w:tc>
        <w:tc>
          <w:tcPr>
            <w:tcW w:w="1588"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rsidR="00E71A06" w:rsidRPr="003259AF" w:rsidRDefault="00041732" w:rsidP="00613746">
            <w:pPr>
              <w:suppressAutoHyphens/>
              <w:spacing w:after="0" w:line="240" w:lineRule="auto"/>
              <w:contextualSpacing/>
              <w:jc w:val="both"/>
              <w:rPr>
                <w:rFonts w:ascii="Times New Roman" w:eastAsia="Times New Roman" w:hAnsi="Times New Roman"/>
                <w:b/>
                <w:color w:val="FF0000"/>
                <w:lang w:val="uk-UA" w:eastAsia="zh-CN"/>
              </w:rPr>
            </w:pPr>
            <w:r w:rsidRPr="003259AF">
              <w:rPr>
                <w:rFonts w:ascii="Times New Roman" w:eastAsia="Times New Roman" w:hAnsi="Times New Roman"/>
                <w:b/>
                <w:color w:val="FF0000"/>
                <w:lang w:val="uk-UA" w:eastAsia="zh-CN"/>
              </w:rPr>
              <w:t xml:space="preserve">дата </w:t>
            </w:r>
            <w:r w:rsidR="00546ACF" w:rsidRPr="003259AF">
              <w:rPr>
                <w:rFonts w:ascii="Times New Roman" w:eastAsia="Times New Roman" w:hAnsi="Times New Roman"/>
                <w:b/>
                <w:color w:val="FF0000"/>
                <w:lang w:val="uk-UA" w:eastAsia="zh-CN"/>
              </w:rPr>
              <w:t>–</w:t>
            </w:r>
            <w:r w:rsidR="00042A17" w:rsidRPr="003259AF">
              <w:rPr>
                <w:rFonts w:ascii="Times New Roman" w:eastAsia="Times New Roman" w:hAnsi="Times New Roman"/>
                <w:b/>
                <w:color w:val="FF0000"/>
                <w:lang w:val="uk-UA" w:eastAsia="zh-CN"/>
              </w:rPr>
              <w:t>2</w:t>
            </w:r>
            <w:r w:rsidR="008C3160">
              <w:rPr>
                <w:rFonts w:ascii="Times New Roman" w:eastAsia="Times New Roman" w:hAnsi="Times New Roman"/>
                <w:b/>
                <w:color w:val="FF0000"/>
                <w:lang w:val="uk-UA" w:eastAsia="zh-CN"/>
              </w:rPr>
              <w:t>7</w:t>
            </w:r>
            <w:bookmarkStart w:id="4" w:name="_GoBack"/>
            <w:bookmarkEnd w:id="4"/>
            <w:r w:rsidR="00E12961" w:rsidRPr="003259AF">
              <w:rPr>
                <w:rFonts w:ascii="Times New Roman" w:eastAsia="Times New Roman" w:hAnsi="Times New Roman"/>
                <w:b/>
                <w:color w:val="FF0000"/>
                <w:lang w:val="uk-UA" w:eastAsia="zh-CN"/>
              </w:rPr>
              <w:t>.03</w:t>
            </w:r>
            <w:r w:rsidR="00052736" w:rsidRPr="003259AF">
              <w:rPr>
                <w:rFonts w:ascii="Times New Roman" w:eastAsia="Times New Roman" w:hAnsi="Times New Roman"/>
                <w:b/>
                <w:color w:val="FF0000"/>
                <w:lang w:val="uk-UA" w:eastAsia="zh-CN"/>
              </w:rPr>
              <w:t>.2023</w:t>
            </w:r>
            <w:r w:rsidR="005B76D5" w:rsidRPr="003259AF">
              <w:rPr>
                <w:rFonts w:ascii="Times New Roman" w:eastAsia="Times New Roman" w:hAnsi="Times New Roman"/>
                <w:b/>
                <w:color w:val="FF0000"/>
                <w:lang w:val="uk-UA" w:eastAsia="zh-CN"/>
              </w:rPr>
              <w:t>р.</w:t>
            </w:r>
          </w:p>
          <w:p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6D1F71">
              <w:rPr>
                <w:rFonts w:ascii="Times New Roman" w:eastAsia="Times New Roman" w:hAnsi="Times New Roman"/>
                <w:lang w:val="uk-UA" w:eastAsia="ru-RU"/>
              </w:rPr>
              <w:lastRenderedPageBreak/>
              <w:t>забезпечити можливість подання тендерної пропозиції всім особам на рівних умовах.</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rsidR="00176314" w:rsidRPr="006D1F71" w:rsidRDefault="00176314" w:rsidP="00176314">
            <w:pPr>
              <w:pStyle w:val="af3"/>
              <w:spacing w:after="0"/>
              <w:contextualSpacing/>
              <w:jc w:val="both"/>
              <w:rPr>
                <w:sz w:val="22"/>
                <w:szCs w:val="22"/>
                <w:lang w:val="uk-UA"/>
              </w:rPr>
            </w:pPr>
            <w:r w:rsidRPr="006D1F71">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176314" w:rsidRPr="006D1F71" w:rsidRDefault="00176314" w:rsidP="00176314">
            <w:pPr>
              <w:pStyle w:val="af3"/>
              <w:spacing w:after="0"/>
              <w:contextualSpacing/>
              <w:jc w:val="both"/>
              <w:rPr>
                <w:sz w:val="22"/>
                <w:szCs w:val="22"/>
                <w:lang w:val="uk-UA"/>
              </w:rPr>
            </w:pPr>
            <w:r w:rsidRPr="006D1F71">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176314" w:rsidRPr="006D1F71" w:rsidRDefault="00176314" w:rsidP="00176314">
            <w:pPr>
              <w:pStyle w:val="af3"/>
              <w:spacing w:after="0"/>
              <w:contextualSpacing/>
              <w:jc w:val="both"/>
              <w:rPr>
                <w:sz w:val="22"/>
                <w:szCs w:val="22"/>
                <w:lang w:val="uk-UA"/>
              </w:rPr>
            </w:pPr>
            <w:r w:rsidRPr="006D1F71">
              <w:rPr>
                <w:sz w:val="22"/>
                <w:szCs w:val="22"/>
                <w:lang w:val="uk-UA"/>
              </w:rPr>
              <w:t>унікальний номер оголошення про проведення відкритих торгів, присвоєний електронною системою закупівель;</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щодо ціни тендерної пропозиції (тендерних пропозицій).</w:t>
            </w:r>
          </w:p>
          <w:p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Оцінка тендерної пропозиції</w:t>
            </w:r>
          </w:p>
        </w:tc>
      </w:tr>
      <w:tr w:rsidR="001A15CA"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BF2" w:rsidRPr="006D1F71" w:rsidRDefault="001D0BF2" w:rsidP="001D0BF2">
            <w:pPr>
              <w:pStyle w:val="af3"/>
              <w:spacing w:after="0"/>
              <w:contextualSpacing/>
              <w:jc w:val="both"/>
              <w:rPr>
                <w:sz w:val="22"/>
                <w:szCs w:val="22"/>
                <w:lang w:val="uk-UA"/>
              </w:rPr>
            </w:pPr>
            <w:r w:rsidRPr="006D1F7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rsidR="001D0BF2" w:rsidRPr="006D1F71" w:rsidRDefault="001D0BF2" w:rsidP="001D0BF2">
            <w:pPr>
              <w:pStyle w:val="af3"/>
              <w:spacing w:after="0"/>
              <w:contextualSpacing/>
              <w:jc w:val="both"/>
              <w:rPr>
                <w:sz w:val="22"/>
                <w:szCs w:val="22"/>
                <w:lang w:val="uk-UA"/>
              </w:rPr>
            </w:pPr>
            <w:r w:rsidRPr="006D1F71">
              <w:rPr>
                <w:sz w:val="22"/>
                <w:szCs w:val="22"/>
                <w:lang w:val="uk-UA"/>
              </w:rPr>
              <w:t>ціна;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вартість життєвого циклу;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разом з іншими критеріями оцінки, що пов’язані із предметом закупівлі. </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w:t>
            </w:r>
            <w:r w:rsidRPr="006D1F71">
              <w:rPr>
                <w:sz w:val="22"/>
                <w:szCs w:val="22"/>
                <w:lang w:val="uk-UA"/>
              </w:rPr>
              <w:lastRenderedPageBreak/>
              <w:t>циклу товару (товарів), роботи (робіт) або послуги (послуг), а саме витрати, пов’язані з:</w:t>
            </w:r>
          </w:p>
          <w:p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1D0BF2" w:rsidRPr="006D1F71" w:rsidRDefault="001D0BF2" w:rsidP="001D0BF2">
            <w:pPr>
              <w:pStyle w:val="af3"/>
              <w:spacing w:after="0"/>
              <w:contextualSpacing/>
              <w:jc w:val="both"/>
              <w:rPr>
                <w:sz w:val="22"/>
                <w:szCs w:val="22"/>
                <w:lang w:val="uk-UA"/>
              </w:rPr>
            </w:pPr>
            <w:r w:rsidRPr="006D1F71">
              <w:rPr>
                <w:sz w:val="22"/>
                <w:szCs w:val="22"/>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t>Обґрунтування аномально низької тендерної пропозиції може містити інформацію про:</w:t>
            </w:r>
          </w:p>
          <w:p w:rsidR="001D0BF2" w:rsidRPr="006D1F71" w:rsidRDefault="001D0BF2" w:rsidP="001D0BF2">
            <w:pPr>
              <w:pStyle w:val="af3"/>
              <w:spacing w:after="0"/>
              <w:contextualSpacing/>
              <w:jc w:val="both"/>
              <w:rPr>
                <w:sz w:val="22"/>
                <w:szCs w:val="22"/>
                <w:lang w:val="uk-UA"/>
              </w:rPr>
            </w:pPr>
            <w:r w:rsidRPr="006D1F71">
              <w:rPr>
                <w:sz w:val="22"/>
                <w:szCs w:val="22"/>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rsidR="00603383" w:rsidRPr="006D1F71" w:rsidRDefault="00603383" w:rsidP="004A652C">
            <w:pPr>
              <w:pStyle w:val="310"/>
              <w:spacing w:after="0"/>
              <w:ind w:left="0"/>
              <w:contextualSpacing/>
              <w:rPr>
                <w:sz w:val="22"/>
                <w:szCs w:val="22"/>
                <w:lang w:val="uk-UA"/>
              </w:rPr>
            </w:pPr>
            <w:r w:rsidRPr="006D1F71">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603383" w:rsidRPr="006D1F71" w:rsidRDefault="00603383" w:rsidP="004A652C">
            <w:pPr>
              <w:pStyle w:val="310"/>
              <w:spacing w:after="0"/>
              <w:ind w:left="0"/>
              <w:contextualSpacing/>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03383" w:rsidRPr="006D1F71" w:rsidRDefault="00603383" w:rsidP="004A652C">
            <w:pPr>
              <w:pStyle w:val="310"/>
              <w:spacing w:after="0"/>
              <w:ind w:left="0"/>
              <w:contextualSpacing/>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rsidR="00603383" w:rsidRPr="006D1F71" w:rsidRDefault="00603383" w:rsidP="004A652C">
            <w:pPr>
              <w:pStyle w:val="310"/>
              <w:spacing w:after="0"/>
              <w:ind w:left="0"/>
              <w:contextualSpacing/>
              <w:rPr>
                <w:sz w:val="22"/>
                <w:szCs w:val="22"/>
                <w:lang w:val="uk-UA"/>
              </w:rPr>
            </w:pPr>
            <w:r w:rsidRPr="006D1F71">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603383" w:rsidRPr="006D1F71" w:rsidRDefault="00603383" w:rsidP="004A652C">
            <w:pPr>
              <w:pStyle w:val="310"/>
              <w:spacing w:after="0"/>
              <w:ind w:left="0"/>
              <w:contextualSpacing/>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8C316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6D1F71">
              <w:rPr>
                <w:rFonts w:ascii="Times New Roman" w:hAnsi="Times New Roman"/>
                <w:color w:val="000000"/>
                <w:shd w:val="solid" w:color="FFFFFF" w:fill="FFFFFF"/>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6D1F71">
              <w:rPr>
                <w:rFonts w:ascii="Times New Roman" w:hAnsi="Times New Roman"/>
                <w:color w:val="000000"/>
                <w:shd w:val="solid" w:color="FFFFFF" w:fill="FFFFFF"/>
                <w:lang w:val="uk-UA"/>
              </w:rPr>
              <w:t>;</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надав копію ліцензії або документа дозвільного характеру </w:t>
            </w:r>
            <w:r w:rsidRPr="006D1F71">
              <w:rPr>
                <w:rFonts w:ascii="Times New Roman" w:hAnsi="Times New Roman"/>
                <w:color w:val="000000"/>
                <w:lang w:val="uk-UA"/>
              </w:rPr>
              <w:lastRenderedPageBreak/>
              <w:t>(у разі їх наявності) відповідно до частини другої статті 41 Закону;</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забезпечення виконання договору про закупівлю, якщо таке забезпечення вимагалося замовником;</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6D1F71">
              <w:rPr>
                <w:rFonts w:ascii="Times New Roman" w:hAnsi="Times New Roman"/>
                <w:color w:val="000000"/>
                <w:lang w:val="uk-UA"/>
              </w:rPr>
              <w:t>відповідно до статті 10 Закону.</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6D1F71">
              <w:rPr>
                <w:rFonts w:ascii="Times New Roman" w:hAnsi="Times New Roman"/>
                <w:color w:val="000000"/>
                <w:lang w:val="uk-UA"/>
              </w:rPr>
              <w:lastRenderedPageBreak/>
              <w:t xml:space="preserve">конкуренції”, у вигляді вчинення антиконкурентних узгоджених дій, що стосуються спотворення результатів тендерів;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11) учасник процедури закупівлі або кінцевий бенефіціарний</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автоматично відміняються електронною системою закупівель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6D1F71">
              <w:rPr>
                <w:rFonts w:ascii="Times New Roman" w:hAnsi="Times New Roman"/>
                <w:color w:val="000000"/>
                <w:shd w:val="solid" w:color="FFFFFF" w:fill="FFFFFF"/>
                <w:lang w:val="uk-UA"/>
              </w:rPr>
              <w:lastRenderedPageBreak/>
              <w:t xml:space="preserve">інформації є обмеженим на момент оприлюднення оголошення про проведення відкритих торгів.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bookmarkStart w:id="5"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6D1F71">
              <w:rPr>
                <w:rFonts w:ascii="Times New Roman" w:hAnsi="Times New Roman"/>
                <w:color w:val="000000"/>
                <w:lang w:val="uk-UA"/>
              </w:rPr>
              <w:lastRenderedPageBreak/>
              <w:t xml:space="preserve">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5"/>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rsidR="00057550" w:rsidRPr="006D1F71" w:rsidRDefault="00057550" w:rsidP="00613746">
      <w:pPr>
        <w:tabs>
          <w:tab w:val="left" w:pos="4140"/>
        </w:tabs>
        <w:spacing w:after="0" w:line="240" w:lineRule="auto"/>
        <w:contextualSpacing/>
        <w:rPr>
          <w:rFonts w:ascii="Times New Roman" w:hAnsi="Times New Roman"/>
          <w:lang w:val="uk-UA"/>
        </w:rPr>
      </w:pPr>
    </w:p>
    <w:p w:rsidR="00F47DE8" w:rsidRPr="006D1F71" w:rsidRDefault="00F47DE8" w:rsidP="00613746">
      <w:pPr>
        <w:tabs>
          <w:tab w:val="left" w:pos="4140"/>
        </w:tabs>
        <w:spacing w:after="0" w:line="240" w:lineRule="auto"/>
        <w:contextualSpacing/>
        <w:rPr>
          <w:rFonts w:ascii="Times New Roman" w:hAnsi="Times New Roman"/>
          <w:lang w:val="uk-UA"/>
        </w:rPr>
      </w:pPr>
    </w:p>
    <w:p w:rsidR="00F47DE8" w:rsidRPr="006D1F71" w:rsidRDefault="00F47DE8" w:rsidP="00613746">
      <w:pPr>
        <w:tabs>
          <w:tab w:val="left" w:pos="4140"/>
        </w:tabs>
        <w:spacing w:after="0" w:line="240" w:lineRule="auto"/>
        <w:contextualSpacing/>
        <w:rPr>
          <w:rFonts w:ascii="Times New Roman" w:hAnsi="Times New Roman"/>
          <w:lang w:val="uk-UA"/>
        </w:rPr>
      </w:pPr>
    </w:p>
    <w:p w:rsidR="004A652C" w:rsidRPr="006D1F71" w:rsidRDefault="004A652C"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val="uk-UA" w:eastAsia="ru-RU"/>
        </w:rPr>
      </w:pPr>
    </w:p>
    <w:p w:rsidR="003501F8" w:rsidRPr="006D1F71" w:rsidRDefault="003501F8" w:rsidP="004A652C">
      <w:pPr>
        <w:pStyle w:val="1"/>
        <w:numPr>
          <w:ilvl w:val="0"/>
          <w:numId w:val="0"/>
        </w:numPr>
        <w:ind w:left="360"/>
        <w:contextualSpacing/>
      </w:pPr>
    </w:p>
    <w:p w:rsidR="00590480" w:rsidRPr="006D1F71" w:rsidRDefault="00590480" w:rsidP="00590480">
      <w:pPr>
        <w:rPr>
          <w:lang w:val="uk-UA" w:eastAsia="zh-CN"/>
        </w:rPr>
      </w:pPr>
    </w:p>
    <w:p w:rsidR="00590480" w:rsidRPr="006D1F71" w:rsidRDefault="00590480" w:rsidP="00590480">
      <w:pPr>
        <w:rPr>
          <w:lang w:val="uk-UA" w:eastAsia="zh-CN"/>
        </w:rPr>
      </w:pPr>
    </w:p>
    <w:p w:rsidR="00E20E7B" w:rsidRDefault="00E20E7B" w:rsidP="00E20E7B">
      <w:pPr>
        <w:rPr>
          <w:lang w:val="uk-UA" w:eastAsia="zh-CN"/>
        </w:rPr>
      </w:pPr>
    </w:p>
    <w:p w:rsidR="003259AF" w:rsidRPr="006D1F71" w:rsidRDefault="003259AF" w:rsidP="00E20E7B">
      <w:pPr>
        <w:rPr>
          <w:lang w:val="uk-UA" w:eastAsia="zh-CN"/>
        </w:rPr>
      </w:pPr>
    </w:p>
    <w:p w:rsidR="00A431F8" w:rsidRPr="006D1F71" w:rsidRDefault="00A431F8" w:rsidP="004A652C">
      <w:pPr>
        <w:pStyle w:val="1"/>
        <w:numPr>
          <w:ilvl w:val="0"/>
          <w:numId w:val="0"/>
        </w:numPr>
        <w:ind w:left="360"/>
        <w:contextualSpacing/>
      </w:pPr>
      <w:r w:rsidRPr="006D1F71">
        <w:lastRenderedPageBreak/>
        <w:t xml:space="preserve">Додаток № 1 </w:t>
      </w:r>
    </w:p>
    <w:p w:rsidR="00A431F8" w:rsidRPr="006D1F71" w:rsidRDefault="00A431F8" w:rsidP="004A652C">
      <w:pPr>
        <w:pStyle w:val="1"/>
        <w:numPr>
          <w:ilvl w:val="0"/>
          <w:numId w:val="0"/>
        </w:numPr>
        <w:ind w:left="360"/>
        <w:contextualSpacing/>
      </w:pPr>
      <w:r w:rsidRPr="006D1F71">
        <w:t>до тендерної документації</w:t>
      </w:r>
    </w:p>
    <w:p w:rsidR="004A652C" w:rsidRPr="006D1F71" w:rsidRDefault="004A652C" w:rsidP="004A652C">
      <w:pPr>
        <w:spacing w:after="0" w:line="240" w:lineRule="auto"/>
        <w:contextualSpacing/>
        <w:rPr>
          <w:lang w:val="uk-UA" w:eastAsia="zh-CN"/>
        </w:rPr>
      </w:pPr>
    </w:p>
    <w:p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C9693E" w:rsidRPr="006D1F71" w:rsidRDefault="00C9693E" w:rsidP="00C9693E">
      <w:pPr>
        <w:spacing w:after="0" w:line="240" w:lineRule="auto"/>
        <w:contextualSpacing/>
        <w:jc w:val="center"/>
        <w:rPr>
          <w:rFonts w:ascii="Times New Roman" w:hAnsi="Times New Roman"/>
          <w:sz w:val="24"/>
          <w:szCs w:val="24"/>
          <w:lang w:val="uk-UA"/>
        </w:rPr>
      </w:pPr>
    </w:p>
    <w:p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Документи, які повинен подати учасник для підтвердження відповідності кваліфікаційним критеріям:</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4658DD" w:rsidRPr="006D1F71" w:rsidTr="004658DD">
        <w:tc>
          <w:tcPr>
            <w:tcW w:w="1820"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Предмет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код ДК 021:2015</w:t>
            </w:r>
          </w:p>
        </w:tc>
        <w:tc>
          <w:tcPr>
            <w:tcW w:w="1021"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Номер договору та дата його укладання</w:t>
            </w:r>
          </w:p>
        </w:tc>
        <w:tc>
          <w:tcPr>
            <w:tcW w:w="1274"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Дата виконання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(число, місяць, рік)</w:t>
            </w:r>
          </w:p>
        </w:tc>
      </w:tr>
      <w:tr w:rsidR="004658DD" w:rsidRPr="006D1F71" w:rsidTr="004658DD">
        <w:tc>
          <w:tcPr>
            <w:tcW w:w="1820" w:type="pct"/>
            <w:vAlign w:val="center"/>
          </w:tcPr>
          <w:p w:rsidR="004658DD" w:rsidRPr="006D1F71" w:rsidRDefault="004658DD" w:rsidP="004658DD">
            <w:pPr>
              <w:jc w:val="center"/>
              <w:rPr>
                <w:rFonts w:ascii="Times New Roman" w:hAnsi="Times New Roman"/>
              </w:rPr>
            </w:pPr>
          </w:p>
        </w:tc>
        <w:tc>
          <w:tcPr>
            <w:tcW w:w="885" w:type="pct"/>
            <w:vAlign w:val="center"/>
          </w:tcPr>
          <w:p w:rsidR="004658DD" w:rsidRPr="006D1F71" w:rsidRDefault="004658DD" w:rsidP="004658DD">
            <w:pPr>
              <w:jc w:val="center"/>
              <w:rPr>
                <w:rFonts w:ascii="Times New Roman" w:hAnsi="Times New Roman"/>
              </w:rPr>
            </w:pPr>
          </w:p>
        </w:tc>
        <w:tc>
          <w:tcPr>
            <w:tcW w:w="1021" w:type="pct"/>
            <w:vAlign w:val="center"/>
          </w:tcPr>
          <w:p w:rsidR="004658DD" w:rsidRPr="006D1F71" w:rsidRDefault="004658DD" w:rsidP="004658DD">
            <w:pPr>
              <w:jc w:val="center"/>
              <w:rPr>
                <w:rFonts w:ascii="Times New Roman" w:hAnsi="Times New Roman"/>
              </w:rPr>
            </w:pPr>
          </w:p>
        </w:tc>
        <w:tc>
          <w:tcPr>
            <w:tcW w:w="1274" w:type="pct"/>
            <w:vAlign w:val="center"/>
          </w:tcPr>
          <w:p w:rsidR="004658DD" w:rsidRPr="006D1F71" w:rsidRDefault="004658DD" w:rsidP="004658DD">
            <w:pPr>
              <w:jc w:val="center"/>
              <w:rPr>
                <w:rFonts w:ascii="Times New Roman" w:hAnsi="Times New Roman"/>
              </w:rPr>
            </w:pPr>
          </w:p>
        </w:tc>
      </w:tr>
    </w:tbl>
    <w:p w:rsidR="00C9693E" w:rsidRPr="006D1F71" w:rsidRDefault="004658DD"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1.1.2. Лист-відгук, </w:t>
      </w:r>
      <w:r w:rsidR="00C9693E" w:rsidRPr="006D1F71">
        <w:rPr>
          <w:rFonts w:ascii="Times New Roman" w:hAnsi="Times New Roman"/>
          <w:sz w:val="24"/>
          <w:szCs w:val="24"/>
          <w:lang w:val="uk-UA"/>
        </w:rPr>
        <w:t>або інший документ, я</w:t>
      </w:r>
      <w:r w:rsidRPr="006D1F71">
        <w:rPr>
          <w:rFonts w:ascii="Times New Roman" w:hAnsi="Times New Roman"/>
          <w:sz w:val="24"/>
          <w:szCs w:val="24"/>
          <w:lang w:val="uk-UA"/>
        </w:rPr>
        <w:t>кий підтверджує поставку товару,</w:t>
      </w:r>
      <w:r w:rsidR="00C9693E" w:rsidRPr="006D1F71">
        <w:rPr>
          <w:rFonts w:ascii="Times New Roman" w:hAnsi="Times New Roman"/>
          <w:sz w:val="24"/>
          <w:szCs w:val="24"/>
          <w:lang w:val="uk-UA"/>
        </w:rPr>
        <w:t xml:space="preserve"> про добросовісне виконання учасником зобов'язань згідно договору (договорів), який наведений (наведені) в довідці про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2. 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r w:rsidR="004658DD" w:rsidRPr="006D1F71">
        <w:rPr>
          <w:rFonts w:ascii="Times New Roman" w:hAnsi="Times New Roman"/>
          <w:sz w:val="24"/>
          <w:szCs w:val="24"/>
          <w:lang w:val="uk-UA"/>
        </w:rPr>
        <w:t>lubnyltetk@ukr.net</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3. Копія витягу або виписки з Єдиного державного реєстру юридичних осіб та фізичних осіб-підприємців.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4. Копія свідоцтва, або копія витягу з реєстру Учасників платників податку на додану вартість чи єдиного податку.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5. 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557FAE" w:rsidRPr="006D1F71" w:rsidRDefault="00557FAE" w:rsidP="00557FA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6. Форма «Технічних вимоги, якісні характеристики та основні вимоги»(</w:t>
      </w:r>
      <w:r w:rsidRPr="006D1F71">
        <w:rPr>
          <w:rFonts w:ascii="Times New Roman" w:hAnsi="Times New Roman"/>
          <w:b/>
          <w:sz w:val="24"/>
          <w:szCs w:val="24"/>
          <w:lang w:val="uk-UA"/>
        </w:rPr>
        <w:t>згідно Додатку № 4 тендерної документації</w:t>
      </w:r>
      <w:r w:rsidR="00026D53" w:rsidRPr="006D1F71">
        <w:rPr>
          <w:rFonts w:ascii="Times New Roman" w:hAnsi="Times New Roman"/>
          <w:sz w:val="24"/>
          <w:szCs w:val="24"/>
          <w:lang w:val="uk-UA"/>
        </w:rPr>
        <w:t xml:space="preserve">) та </w:t>
      </w:r>
      <w:r w:rsidR="00026D53" w:rsidRPr="006D1F71">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7. Гарантійний лист щодо погодження з проє</w:t>
      </w:r>
      <w:r w:rsidR="004658DD" w:rsidRPr="006D1F71">
        <w:rPr>
          <w:rFonts w:ascii="Times New Roman" w:hAnsi="Times New Roman"/>
          <w:sz w:val="24"/>
          <w:szCs w:val="24"/>
          <w:lang w:val="uk-UA"/>
        </w:rPr>
        <w:t xml:space="preserve">ктом договору </w:t>
      </w:r>
      <w:r w:rsidR="004658DD" w:rsidRPr="006D1F71">
        <w:rPr>
          <w:rFonts w:ascii="Times New Roman" w:hAnsi="Times New Roman"/>
          <w:b/>
          <w:sz w:val="24"/>
          <w:szCs w:val="24"/>
          <w:lang w:val="uk-UA"/>
        </w:rPr>
        <w:t>згідно Додатку № 5</w:t>
      </w:r>
      <w:r w:rsidR="0061247D">
        <w:rPr>
          <w:rFonts w:ascii="Times New Roman" w:hAnsi="Times New Roman"/>
          <w:b/>
          <w:sz w:val="24"/>
          <w:szCs w:val="24"/>
          <w:lang w:val="uk-UA"/>
        </w:rPr>
        <w:t xml:space="preserve"> </w:t>
      </w:r>
      <w:r w:rsidRPr="006D1F71">
        <w:rPr>
          <w:rFonts w:ascii="Times New Roman" w:hAnsi="Times New Roman"/>
          <w:b/>
          <w:sz w:val="24"/>
          <w:szCs w:val="24"/>
          <w:lang w:val="uk-UA"/>
        </w:rPr>
        <w:t>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8. Довідка учасника в довільній формі про фактичне місцезнаходження виробничих потужностей виробника.</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9. 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10. 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11. 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6D1F71">
        <w:rPr>
          <w:rFonts w:ascii="Times New Roman" w:hAnsi="Times New Roman"/>
          <w:sz w:val="24"/>
          <w:szCs w:val="24"/>
          <w:lang w:val="uk-UA"/>
        </w:rPr>
        <w:lastRenderedPageBreak/>
        <w:t>(або інший документ) на уповноважену(их)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12. Форма «Тендерна пропозиція» (</w:t>
      </w:r>
      <w:r w:rsidRPr="006D1F71">
        <w:rPr>
          <w:rFonts w:ascii="Times New Roman" w:hAnsi="Times New Roman"/>
          <w:b/>
          <w:sz w:val="24"/>
          <w:szCs w:val="24"/>
          <w:lang w:val="uk-UA"/>
        </w:rPr>
        <w:t xml:space="preserve">згідно </w:t>
      </w:r>
      <w:r w:rsidR="00557FAE" w:rsidRPr="006D1F71">
        <w:rPr>
          <w:rFonts w:ascii="Times New Roman" w:hAnsi="Times New Roman"/>
          <w:b/>
          <w:sz w:val="24"/>
          <w:szCs w:val="24"/>
          <w:lang w:val="uk-UA"/>
        </w:rPr>
        <w:t>Додатку № 3</w:t>
      </w:r>
      <w:r w:rsidRPr="006D1F71">
        <w:rPr>
          <w:rFonts w:ascii="Times New Roman" w:hAnsi="Times New Roman"/>
          <w:b/>
          <w:sz w:val="24"/>
          <w:szCs w:val="24"/>
          <w:lang w:val="uk-UA"/>
        </w:rPr>
        <w:t xml:space="preserve"> тендерної документації</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13. 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026D53" w:rsidRPr="006D1F71" w:rsidRDefault="00026D53" w:rsidP="00026D53">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14.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026D53" w:rsidRPr="006D1F71" w:rsidRDefault="00026D5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15. 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1B6EE3" w:rsidRPr="006D1F71" w:rsidRDefault="001B6EE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16. Документ про створення об’єднання </w:t>
      </w:r>
      <w:r w:rsidR="0023081E" w:rsidRPr="006D1F71">
        <w:rPr>
          <w:rFonts w:ascii="Times New Roman" w:hAnsi="Times New Roman"/>
          <w:sz w:val="24"/>
          <w:szCs w:val="24"/>
          <w:lang w:val="uk-UA"/>
        </w:rPr>
        <w:t>учасників</w:t>
      </w:r>
      <w:r w:rsidRPr="006D1F71">
        <w:rPr>
          <w:rFonts w:ascii="Times New Roman" w:hAnsi="Times New Roman"/>
          <w:sz w:val="24"/>
          <w:szCs w:val="24"/>
          <w:lang w:val="uk-UA"/>
        </w:rPr>
        <w:t>, якщо тендерна пропозиція подається об’єднанням учасників.</w:t>
      </w:r>
    </w:p>
    <w:p w:rsidR="007A4266" w:rsidRPr="006D1F71" w:rsidRDefault="007A4266" w:rsidP="00C9693E">
      <w:pPr>
        <w:spacing w:after="0" w:line="240" w:lineRule="auto"/>
        <w:contextualSpacing/>
        <w:jc w:val="both"/>
        <w:rPr>
          <w:rFonts w:ascii="Times New Roman" w:hAnsi="Times New Roman"/>
          <w:sz w:val="24"/>
          <w:szCs w:val="24"/>
          <w:lang w:val="uk-UA"/>
        </w:rPr>
      </w:pPr>
    </w:p>
    <w:p w:rsidR="00C9693E" w:rsidRPr="006D1F71" w:rsidRDefault="007A4266" w:rsidP="00C9693E">
      <w:pPr>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Примітки: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xml:space="preserve">) у разі якщо тендерною документацією вимагається надання документів, що не передбачені </w:t>
      </w:r>
      <w:r w:rsidR="004D3454" w:rsidRPr="006D1F71">
        <w:rPr>
          <w:rFonts w:ascii="Times New Roman" w:hAnsi="Times New Roman"/>
          <w:sz w:val="24"/>
          <w:szCs w:val="24"/>
          <w:lang w:val="uk-UA"/>
        </w:rPr>
        <w:t xml:space="preserve">згідно чинного законодавства </w:t>
      </w:r>
      <w:r w:rsidR="00A431F8" w:rsidRPr="006D1F71">
        <w:rPr>
          <w:rFonts w:ascii="Times New Roman" w:hAnsi="Times New Roman"/>
          <w:sz w:val="24"/>
          <w:szCs w:val="24"/>
          <w:lang w:val="uk-UA"/>
        </w:rPr>
        <w:t>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в</w:t>
      </w:r>
      <w:r w:rsidR="00A431F8" w:rsidRPr="006D1F71">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6D1F71" w:rsidRDefault="007A4266" w:rsidP="007A4266">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rsidR="0019522E" w:rsidRPr="006D1F71" w:rsidRDefault="0019522E" w:rsidP="0019522E">
      <w:pPr>
        <w:jc w:val="center"/>
        <w:rPr>
          <w:rFonts w:ascii="Times New Roman" w:hAnsi="Times New Roman"/>
          <w:b/>
          <w:sz w:val="24"/>
          <w:szCs w:val="24"/>
          <w:lang w:val="uk-UA"/>
        </w:rPr>
      </w:pPr>
      <w:r w:rsidRPr="006D1F71">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абзацу 15 пункту 44 Особливостей</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не раніше 10 днів відносно дати її подання,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12429" w:rsidRPr="006D1F71" w:rsidRDefault="00C12429" w:rsidP="0019522E">
      <w:pPr>
        <w:spacing w:after="0" w:line="240" w:lineRule="auto"/>
        <w:rPr>
          <w:rFonts w:ascii="Times New Roman" w:hAnsi="Times New Roman"/>
          <w:sz w:val="24"/>
          <w:szCs w:val="24"/>
          <w:lang w:val="uk-UA"/>
        </w:rPr>
      </w:pP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eastAsia="Times New Roman" w:hAnsi="Times New Roman"/>
          <w:b/>
          <w:color w:val="000000"/>
          <w:sz w:val="24"/>
          <w:szCs w:val="24"/>
          <w:lang w:val="uk-UA" w:eastAsia="ru-RU"/>
        </w:rPr>
      </w:pPr>
      <w:r w:rsidRPr="006D1F71">
        <w:rPr>
          <w:rFonts w:ascii="Times New Roman" w:eastAsia="Times New Roman" w:hAnsi="Times New Roman"/>
          <w:b/>
          <w:color w:val="000000"/>
          <w:sz w:val="24"/>
          <w:szCs w:val="24"/>
          <w:lang w:val="uk-UA" w:eastAsia="ru-RU"/>
        </w:rPr>
        <w:t>Документ має бути сформовано не раніше 30 днів відносно дати його подання.</w:t>
      </w: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12429" w:rsidRPr="006D1F71" w:rsidRDefault="00C12429" w:rsidP="0019522E">
      <w:pPr>
        <w:spacing w:after="0" w:line="240" w:lineRule="auto"/>
        <w:rPr>
          <w:rFonts w:ascii="Times New Roman" w:eastAsia="Times New Roman" w:hAnsi="Times New Roman"/>
          <w:color w:val="000000"/>
          <w:sz w:val="24"/>
          <w:szCs w:val="24"/>
          <w:lang w:val="uk-UA" w:eastAsia="ru-RU"/>
        </w:rPr>
      </w:pP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3. Довідка (довідки, зведена довідка, тощо), складена переможцем проце</w:t>
      </w:r>
      <w:r w:rsidR="00A01366" w:rsidRPr="006D1F71">
        <w:rPr>
          <w:rFonts w:ascii="Times New Roman" w:eastAsia="Times New Roman" w:hAnsi="Times New Roman"/>
          <w:color w:val="000000"/>
          <w:sz w:val="24"/>
          <w:szCs w:val="24"/>
          <w:lang w:val="uk-UA" w:eastAsia="ru-RU"/>
        </w:rPr>
        <w:t>дури закупівлі у довільній формі</w:t>
      </w:r>
      <w:r w:rsidRPr="006D1F71">
        <w:rPr>
          <w:rFonts w:ascii="Times New Roman" w:eastAsia="Times New Roman" w:hAnsi="Times New Roman"/>
          <w:color w:val="000000"/>
          <w:sz w:val="24"/>
          <w:szCs w:val="24"/>
          <w:lang w:val="uk-UA" w:eastAsia="ru-RU"/>
        </w:rPr>
        <w:t>, що підтверджують відсутність підстав, визначених пунктом 12 та абзацом 14 пункту 44 Особливостей.</w:t>
      </w:r>
    </w:p>
    <w:p w:rsidR="0019522E" w:rsidRPr="006D1F71" w:rsidRDefault="0019522E" w:rsidP="0019522E">
      <w:pPr>
        <w:spacing w:after="0" w:line="240" w:lineRule="auto"/>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6D1F71">
        <w:rPr>
          <w:rFonts w:ascii="Times New Roman" w:hAnsi="Times New Roman"/>
          <w:b/>
          <w:i/>
          <w:sz w:val="24"/>
          <w:szCs w:val="24"/>
          <w:u w:val="single"/>
          <w:lang w:val="uk-UA"/>
        </w:rPr>
        <w:t>Примітки: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lastRenderedPageBreak/>
        <w:t>в</w:t>
      </w:r>
      <w:r w:rsidR="00A431F8" w:rsidRPr="006D1F71">
        <w:rPr>
          <w:rFonts w:ascii="Times New Roman" w:hAnsi="Times New Roman"/>
          <w:sz w:val="24"/>
          <w:szCs w:val="24"/>
          <w:lang w:val="uk-UA"/>
        </w:rPr>
        <w:t>)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A431F8" w:rsidRPr="006D1F71" w:rsidRDefault="00A431F8" w:rsidP="004A652C">
      <w:pPr>
        <w:spacing w:after="0" w:line="240" w:lineRule="auto"/>
        <w:contextualSpacing/>
        <w:jc w:val="right"/>
        <w:rPr>
          <w:rFonts w:ascii="Times New Roman" w:hAnsi="Times New Roman"/>
          <w:b/>
          <w:sz w:val="24"/>
          <w:szCs w:val="24"/>
          <w:lang w:val="uk-UA"/>
        </w:rPr>
      </w:pPr>
    </w:p>
    <w:p w:rsidR="007310DD" w:rsidRPr="006D1F71" w:rsidRDefault="007310DD" w:rsidP="004A652C">
      <w:pPr>
        <w:spacing w:after="0" w:line="240" w:lineRule="auto"/>
        <w:contextualSpacing/>
        <w:rPr>
          <w:rFonts w:ascii="Times New Roman" w:eastAsia="Times New Roman" w:hAnsi="Times New Roman"/>
          <w:i/>
          <w:sz w:val="24"/>
          <w:szCs w:val="24"/>
          <w:lang w:val="uk-UA" w:eastAsia="zh-CN"/>
        </w:rPr>
      </w:pPr>
      <w:r w:rsidRPr="006D1F71">
        <w:rPr>
          <w:rFonts w:ascii="Times New Roman" w:eastAsia="Times New Roman" w:hAnsi="Times New Roman"/>
          <w:i/>
          <w:sz w:val="24"/>
          <w:szCs w:val="24"/>
          <w:lang w:val="uk-UA" w:eastAsia="zh-CN"/>
        </w:rPr>
        <w:br w:type="page"/>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 xml:space="preserve">код за ДК 021:2015: </w:t>
      </w:r>
      <w:r w:rsidR="00652BF3" w:rsidRPr="006D1F71">
        <w:rPr>
          <w:rFonts w:ascii="Times New Roman" w:eastAsia="Times New Roman" w:hAnsi="Times New Roman"/>
          <w:b/>
          <w:sz w:val="24"/>
          <w:szCs w:val="24"/>
          <w:lang w:val="uk-UA"/>
        </w:rPr>
        <w:t xml:space="preserve">код </w:t>
      </w:r>
      <w:r w:rsidR="00652BF3" w:rsidRPr="006D1F71">
        <w:rPr>
          <w:rFonts w:ascii="Times New Roman" w:hAnsi="Times New Roman"/>
          <w:b/>
          <w:sz w:val="24"/>
          <w:szCs w:val="24"/>
          <w:lang w:val="uk-UA"/>
        </w:rPr>
        <w:t>42120000-6 - Насоси та компресори (42124290-3-Частини відцентрових насосів)</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4"/>
        <w:gridCol w:w="1450"/>
        <w:gridCol w:w="1596"/>
        <w:gridCol w:w="2009"/>
        <w:gridCol w:w="15"/>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Pr="006D1F71">
              <w:rPr>
                <w:rFonts w:ascii="Times New Roman" w:hAnsi="Times New Roman"/>
                <w:b/>
                <w:bCs/>
                <w:i/>
                <w:sz w:val="24"/>
                <w:szCs w:val="24"/>
                <w:lang w:val="uk-UA"/>
              </w:rPr>
              <w:t>послуг</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Pr="003259AF">
        <w:rPr>
          <w:rFonts w:ascii="Times New Roman" w:hAnsi="Times New Roman"/>
          <w:color w:val="FF0000"/>
          <w:sz w:val="24"/>
          <w:szCs w:val="24"/>
          <w:lang w:val="uk-UA"/>
        </w:rPr>
        <w:t>1</w:t>
      </w:r>
      <w:r w:rsidR="003259AF">
        <w:rPr>
          <w:rFonts w:ascii="Times New Roman" w:hAnsi="Times New Roman"/>
          <w:color w:val="FF0000"/>
          <w:sz w:val="24"/>
          <w:szCs w:val="24"/>
          <w:lang w:val="uk-UA"/>
        </w:rPr>
        <w:t>6</w:t>
      </w:r>
      <w:r w:rsidRPr="003259AF">
        <w:rPr>
          <w:rFonts w:ascii="Times New Roman" w:hAnsi="Times New Roman"/>
          <w:color w:val="FF0000"/>
          <w:sz w:val="24"/>
          <w:szCs w:val="24"/>
          <w:lang w:val="uk-UA"/>
        </w:rPr>
        <w:t xml:space="preserve"> квітня 2023 року.</w:t>
      </w:r>
    </w:p>
    <w:p w:rsidR="00001AB3" w:rsidRPr="006D1F71" w:rsidRDefault="00001AB3" w:rsidP="00676981">
      <w:pPr>
        <w:spacing w:after="0" w:line="240" w:lineRule="auto"/>
        <w:ind w:firstLine="709"/>
        <w:jc w:val="both"/>
        <w:rPr>
          <w:rFonts w:ascii="Times New Roman" w:hAnsi="Times New Roman"/>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CD6C11" w:rsidRPr="006D1F71" w:rsidRDefault="00A32137" w:rsidP="00CD6C11">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код за ДК 021:2015: </w:t>
      </w:r>
      <w:r w:rsidR="00652BF3" w:rsidRPr="006D1F71">
        <w:rPr>
          <w:rFonts w:ascii="Times New Roman" w:hAnsi="Times New Roman"/>
          <w:b/>
          <w:sz w:val="24"/>
          <w:szCs w:val="24"/>
          <w:lang w:val="uk-UA"/>
        </w:rPr>
        <w:t>42120000-6 - Насоси та компресори (42124290-3-Частини відцентрових насосів)</w:t>
      </w:r>
    </w:p>
    <w:p w:rsidR="00A32137" w:rsidRPr="006D1F71"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A32137" w:rsidRPr="006D1F71" w:rsidRDefault="00A32137" w:rsidP="002040EC">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ТЕХНІЧНІ ВИМОГИ І ЯКІСНІ ХАРАКТЕРИСТИКИ ТА ОСНОВНІ УМОВИ</w:t>
      </w:r>
    </w:p>
    <w:p w:rsidR="00652BF3" w:rsidRPr="006D1F71" w:rsidRDefault="00652BF3"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W w:w="10503" w:type="dxa"/>
        <w:jc w:val="center"/>
        <w:tblLook w:val="04A0" w:firstRow="1" w:lastRow="0" w:firstColumn="1" w:lastColumn="0" w:noHBand="0" w:noVBand="1"/>
      </w:tblPr>
      <w:tblGrid>
        <w:gridCol w:w="2977"/>
        <w:gridCol w:w="3662"/>
        <w:gridCol w:w="1181"/>
        <w:gridCol w:w="1275"/>
        <w:gridCol w:w="1408"/>
      </w:tblGrid>
      <w:tr w:rsidR="00652BF3" w:rsidRPr="006D1F71" w:rsidTr="00652BF3">
        <w:trPr>
          <w:trHeight w:val="6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2BF3" w:rsidRPr="006D1F71" w:rsidRDefault="00652BF3" w:rsidP="00652BF3">
            <w:pPr>
              <w:spacing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3681" w:type="dxa"/>
            <w:tcBorders>
              <w:top w:val="single" w:sz="4" w:space="0" w:color="000000"/>
              <w:left w:val="single" w:sz="4" w:space="0" w:color="000000"/>
              <w:bottom w:val="single" w:sz="4" w:space="0" w:color="000000"/>
              <w:right w:val="single" w:sz="4" w:space="0" w:color="000000"/>
            </w:tcBorders>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409" w:type="dxa"/>
            <w:tcBorders>
              <w:top w:val="single" w:sz="4" w:space="0" w:color="000000"/>
              <w:left w:val="single" w:sz="4" w:space="0" w:color="000000"/>
              <w:right w:val="single" w:sz="4" w:space="0" w:color="000000"/>
            </w:tcBorders>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Країна виробник</w:t>
            </w:r>
          </w:p>
        </w:tc>
      </w:tr>
      <w:tr w:rsidR="00652BF3" w:rsidRPr="006D1F71" w:rsidTr="00652BF3">
        <w:trPr>
          <w:trHeight w:val="257"/>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652BF3" w:rsidRPr="006D1F71" w:rsidRDefault="00652BF3" w:rsidP="003259AF">
            <w:pPr>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Торцеве ущільнення до насосу </w:t>
            </w:r>
            <w:r w:rsidR="003259AF">
              <w:rPr>
                <w:rFonts w:ascii="Times New Roman" w:eastAsia="Times New Roman" w:hAnsi="Times New Roman"/>
                <w:b/>
                <w:lang w:val="en-US"/>
              </w:rPr>
              <w:t>Calpeda</w:t>
            </w:r>
            <w:r w:rsidR="003259AF" w:rsidRPr="003259AF">
              <w:rPr>
                <w:rFonts w:ascii="Times New Roman" w:eastAsia="Times New Roman" w:hAnsi="Times New Roman"/>
                <w:b/>
              </w:rPr>
              <w:t xml:space="preserve"> </w:t>
            </w:r>
            <w:r w:rsidR="003259AF">
              <w:rPr>
                <w:rFonts w:ascii="Times New Roman" w:eastAsia="Times New Roman" w:hAnsi="Times New Roman"/>
                <w:b/>
                <w:lang w:val="en-US"/>
              </w:rPr>
              <w:t>NR</w:t>
            </w:r>
            <w:r w:rsidR="003259AF" w:rsidRPr="003259AF">
              <w:rPr>
                <w:rFonts w:ascii="Times New Roman" w:eastAsia="Times New Roman" w:hAnsi="Times New Roman"/>
                <w:b/>
              </w:rPr>
              <w:t xml:space="preserve">65/160 </w:t>
            </w:r>
            <w:r w:rsidR="003259AF">
              <w:rPr>
                <w:rFonts w:ascii="Times New Roman" w:eastAsia="Times New Roman" w:hAnsi="Times New Roman"/>
                <w:b/>
                <w:lang w:val="en-US"/>
              </w:rPr>
              <w:t>A</w:t>
            </w:r>
            <w:r w:rsidR="003259AF" w:rsidRPr="003259AF">
              <w:rPr>
                <w:rFonts w:ascii="Times New Roman" w:eastAsia="Times New Roman" w:hAnsi="Times New Roman"/>
                <w:b/>
              </w:rPr>
              <w:t>/</w:t>
            </w:r>
            <w:r w:rsidR="003259AF">
              <w:rPr>
                <w:rFonts w:ascii="Times New Roman" w:eastAsia="Times New Roman" w:hAnsi="Times New Roman"/>
                <w:b/>
                <w:lang w:val="en-US"/>
              </w:rPr>
              <w:t>A</w:t>
            </w:r>
          </w:p>
        </w:tc>
        <w:tc>
          <w:tcPr>
            <w:tcW w:w="3681" w:type="dxa"/>
            <w:tcBorders>
              <w:top w:val="single" w:sz="4" w:space="0" w:color="000000"/>
              <w:left w:val="single" w:sz="4" w:space="0" w:color="000000"/>
              <w:bottom w:val="single" w:sz="4" w:space="0" w:color="000000"/>
              <w:right w:val="single" w:sz="4" w:space="0" w:color="000000"/>
            </w:tcBorders>
            <w:vAlign w:val="center"/>
          </w:tcPr>
          <w:p w:rsidR="00652BF3" w:rsidRPr="00AB737C" w:rsidRDefault="00AB737C" w:rsidP="003259A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Механічне ущільнення М112К.</w:t>
            </w:r>
            <w:r>
              <w:rPr>
                <w:rFonts w:ascii="Times New Roman" w:hAnsi="Times New Roman"/>
                <w:b/>
                <w:sz w:val="24"/>
                <w:szCs w:val="24"/>
                <w:lang w:val="en-US"/>
              </w:rPr>
              <w:t>FR</w:t>
            </w:r>
            <w:r w:rsidRPr="00AB737C">
              <w:rPr>
                <w:rFonts w:ascii="Times New Roman" w:hAnsi="Times New Roman"/>
                <w:b/>
                <w:sz w:val="24"/>
                <w:szCs w:val="24"/>
                <w:lang w:val="uk-UA"/>
              </w:rPr>
              <w:t>.032-</w:t>
            </w:r>
            <w:r>
              <w:rPr>
                <w:rFonts w:ascii="Times New Roman" w:hAnsi="Times New Roman"/>
                <w:b/>
                <w:sz w:val="24"/>
                <w:szCs w:val="24"/>
                <w:lang w:val="en-US"/>
              </w:rPr>
              <w:t>Q</w:t>
            </w:r>
            <w:r w:rsidRPr="00AB737C">
              <w:rPr>
                <w:rFonts w:ascii="Times New Roman" w:hAnsi="Times New Roman"/>
                <w:b/>
                <w:sz w:val="24"/>
                <w:szCs w:val="24"/>
                <w:lang w:val="uk-UA"/>
              </w:rPr>
              <w:t>2</w:t>
            </w:r>
            <w:r>
              <w:rPr>
                <w:rFonts w:ascii="Times New Roman" w:hAnsi="Times New Roman"/>
                <w:b/>
                <w:sz w:val="24"/>
                <w:szCs w:val="24"/>
                <w:lang w:val="en-US"/>
              </w:rPr>
              <w:t>Q</w:t>
            </w:r>
            <w:r w:rsidRPr="00AB737C">
              <w:rPr>
                <w:rFonts w:ascii="Times New Roman" w:hAnsi="Times New Roman"/>
                <w:b/>
                <w:sz w:val="24"/>
                <w:szCs w:val="24"/>
                <w:lang w:val="uk-UA"/>
              </w:rPr>
              <w:t>2</w:t>
            </w:r>
            <w:r>
              <w:rPr>
                <w:rFonts w:ascii="Times New Roman" w:hAnsi="Times New Roman"/>
                <w:b/>
                <w:sz w:val="24"/>
                <w:szCs w:val="24"/>
                <w:lang w:val="en-US"/>
              </w:rPr>
              <w:t>EGF</w:t>
            </w:r>
          </w:p>
        </w:tc>
        <w:tc>
          <w:tcPr>
            <w:tcW w:w="1161" w:type="dxa"/>
            <w:tcBorders>
              <w:top w:val="single" w:sz="4" w:space="0" w:color="000000"/>
              <w:left w:val="single" w:sz="4" w:space="0" w:color="000000"/>
              <w:bottom w:val="single" w:sz="4" w:space="0" w:color="000000"/>
              <w:right w:val="single" w:sz="4" w:space="0" w:color="000000"/>
            </w:tcBorders>
            <w:vAlign w:val="center"/>
          </w:tcPr>
          <w:p w:rsidR="00652BF3" w:rsidRPr="006D1F71" w:rsidRDefault="00434364" w:rsidP="00652BF3">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комплект</w:t>
            </w:r>
          </w:p>
        </w:tc>
        <w:tc>
          <w:tcPr>
            <w:tcW w:w="1275" w:type="dxa"/>
            <w:tcBorders>
              <w:top w:val="single" w:sz="4" w:space="0" w:color="000000"/>
              <w:left w:val="single" w:sz="4" w:space="0" w:color="000000"/>
              <w:bottom w:val="single" w:sz="4" w:space="0" w:color="000000"/>
              <w:right w:val="single" w:sz="4" w:space="0" w:color="000000"/>
            </w:tcBorders>
            <w:vAlign w:val="center"/>
          </w:tcPr>
          <w:p w:rsidR="00652BF3" w:rsidRPr="006D1F71" w:rsidRDefault="003259AF" w:rsidP="00652BF3">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09" w:type="dxa"/>
            <w:tcBorders>
              <w:top w:val="single" w:sz="4" w:space="0" w:color="000000"/>
              <w:left w:val="single" w:sz="4" w:space="0" w:color="000000"/>
              <w:bottom w:val="single" w:sz="4" w:space="0" w:color="000000"/>
              <w:right w:val="single" w:sz="4" w:space="0" w:color="000000"/>
            </w:tcBorders>
          </w:tcPr>
          <w:p w:rsidR="00652BF3" w:rsidRPr="006D1F71" w:rsidRDefault="00652BF3" w:rsidP="00652BF3">
            <w:pPr>
              <w:spacing w:line="240" w:lineRule="auto"/>
              <w:rPr>
                <w:rFonts w:ascii="Times New Roman" w:eastAsia="Times New Roman" w:hAnsi="Times New Roman"/>
                <w:sz w:val="24"/>
                <w:szCs w:val="24"/>
                <w:lang w:val="uk-UA" w:eastAsia="ru-RU"/>
              </w:rPr>
            </w:pPr>
          </w:p>
        </w:tc>
      </w:tr>
    </w:tbl>
    <w:p w:rsidR="00F942F0" w:rsidRPr="006D1F71" w:rsidRDefault="00F942F0" w:rsidP="002040EC">
      <w:pPr>
        <w:shd w:val="clear" w:color="auto" w:fill="FFFFFF"/>
        <w:spacing w:after="0" w:line="240" w:lineRule="auto"/>
        <w:ind w:left="34" w:right="1"/>
        <w:contextualSpacing/>
        <w:jc w:val="center"/>
        <w:rPr>
          <w:rFonts w:ascii="Times New Roman" w:hAnsi="Times New Roman"/>
          <w:b/>
          <w:sz w:val="24"/>
          <w:szCs w:val="24"/>
          <w:lang w:val="uk-UA"/>
        </w:rPr>
      </w:pPr>
    </w:p>
    <w:p w:rsidR="004E6148" w:rsidRPr="006D1F71" w:rsidRDefault="004E6148" w:rsidP="004E6148">
      <w:pPr>
        <w:pStyle w:val="a8"/>
        <w:widowControl w:val="0"/>
        <w:spacing w:after="0" w:line="240" w:lineRule="auto"/>
        <w:ind w:left="0"/>
        <w:jc w:val="both"/>
        <w:rPr>
          <w:rFonts w:ascii="Times New Roman" w:eastAsia="Times New Roman" w:hAnsi="Times New Roman"/>
          <w:sz w:val="24"/>
          <w:szCs w:val="24"/>
          <w:lang w:val="uk-UA" w:bidi="en-US"/>
        </w:rPr>
      </w:pP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2.Якість Товару засвідчується сертифікатом якості та/або сертифікатом відповідності, та/або</w:t>
      </w:r>
      <w:r w:rsidRPr="006D1F71">
        <w:rPr>
          <w:rFonts w:ascii="Times New Roman" w:eastAsia="Times New Roman" w:hAnsi="Times New Roman"/>
          <w:sz w:val="24"/>
          <w:szCs w:val="24"/>
          <w:lang w:val="uk-UA" w:bidi="en-US"/>
        </w:rPr>
        <w:t xml:space="preserve">декларацією про відповідність обладнання, що працює під тиском, </w:t>
      </w:r>
      <w:r w:rsidRPr="006D1F71">
        <w:rPr>
          <w:rFonts w:ascii="Times New Roman" w:eastAsia="Times New Roman" w:hAnsi="Times New Roman"/>
          <w:color w:val="000000"/>
          <w:sz w:val="24"/>
          <w:szCs w:val="24"/>
          <w:lang w:val="uk-UA" w:bidi="en-US"/>
        </w:rPr>
        <w:t>та/або паспортом заводу виробника, копія якого (якої) подається учасником в своїй пропозиції</w:t>
      </w:r>
      <w:r w:rsidRPr="006D1F71">
        <w:rPr>
          <w:rFonts w:ascii="Times New Roman" w:eastAsia="Times New Roman" w:hAnsi="Times New Roman"/>
          <w:sz w:val="24"/>
          <w:szCs w:val="24"/>
          <w:lang w:val="uk-UA" w:bidi="en-US"/>
        </w:rPr>
        <w:t xml:space="preserve">. </w:t>
      </w:r>
      <w:r w:rsidRPr="006D1F71">
        <w:rPr>
          <w:rFonts w:ascii="Times New Roman" w:hAnsi="Times New Roman"/>
          <w:iCs/>
          <w:sz w:val="24"/>
          <w:szCs w:val="24"/>
          <w:lang w:val="uk-UA"/>
        </w:rPr>
        <w:t xml:space="preserve">У разі відсутності вищевказаних докуметів учасник надає </w:t>
      </w:r>
      <w:r w:rsidRPr="006D1F71">
        <w:rPr>
          <w:rFonts w:ascii="Times New Roman" w:hAnsi="Times New Roman"/>
          <w:sz w:val="24"/>
          <w:szCs w:val="24"/>
          <w:lang w:val="uk-UA"/>
        </w:rPr>
        <w:t xml:space="preserve">довідку або лист-роз’яснення у довільній формі </w:t>
      </w:r>
      <w:r w:rsidRPr="006D1F71">
        <w:rPr>
          <w:rFonts w:ascii="Times New Roman" w:hAnsi="Times New Roman"/>
          <w:iCs/>
          <w:sz w:val="24"/>
          <w:szCs w:val="24"/>
          <w:lang w:val="uk-UA"/>
        </w:rPr>
        <w:t>що товар не підлягає сертифікації.</w:t>
      </w:r>
      <w:r w:rsidRPr="006D1F71">
        <w:rPr>
          <w:rFonts w:ascii="Times New Roman" w:eastAsia="Times New Roman" w:hAnsi="Times New Roman"/>
          <w:sz w:val="24"/>
          <w:szCs w:val="24"/>
          <w:lang w:val="uk-UA" w:eastAsia="zh-CN"/>
        </w:rPr>
        <w:t>У разі поширення вимог, товар повинен мати позитивний висновок державної санітарно-епідеміологічної експертизи.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м.Лубни, вул.М</w:t>
      </w:r>
      <w:r w:rsidR="003259AF">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м.Лубни</w:t>
      </w:r>
    </w:p>
    <w:p w:rsidR="006D1F71" w:rsidRPr="003259AF" w:rsidRDefault="006D1F71" w:rsidP="006D1F71">
      <w:pPr>
        <w:spacing w:after="0" w:line="240" w:lineRule="auto"/>
        <w:contextualSpacing/>
        <w:jc w:val="both"/>
        <w:rPr>
          <w:rFonts w:ascii="Times New Roman" w:eastAsia="Times New Roman" w:hAnsi="Times New Roman"/>
          <w:color w:val="FF0000"/>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Pr="003259AF">
        <w:rPr>
          <w:rFonts w:ascii="Times New Roman" w:eastAsia="Times New Roman" w:hAnsi="Times New Roman"/>
          <w:color w:val="FF0000"/>
          <w:sz w:val="24"/>
          <w:szCs w:val="24"/>
          <w:lang w:val="uk-UA" w:eastAsia="zh-CN"/>
        </w:rPr>
        <w:t>1</w:t>
      </w:r>
      <w:r w:rsidR="003259AF" w:rsidRPr="003259AF">
        <w:rPr>
          <w:rFonts w:ascii="Times New Roman" w:eastAsia="Times New Roman" w:hAnsi="Times New Roman"/>
          <w:color w:val="FF0000"/>
          <w:sz w:val="24"/>
          <w:szCs w:val="24"/>
          <w:lang w:val="uk-UA" w:eastAsia="zh-CN"/>
        </w:rPr>
        <w:t>6</w:t>
      </w:r>
      <w:r w:rsidRPr="003259AF">
        <w:rPr>
          <w:rFonts w:ascii="Times New Roman" w:eastAsia="Times New Roman" w:hAnsi="Times New Roman"/>
          <w:color w:val="FF0000"/>
          <w:sz w:val="24"/>
          <w:szCs w:val="24"/>
          <w:lang w:val="uk-UA" w:eastAsia="zh-CN"/>
        </w:rPr>
        <w:t>.04.2023 року.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D1F71" w:rsidRPr="006D1F71" w:rsidRDefault="006D1F71" w:rsidP="006D1F71">
      <w:pPr>
        <w:spacing w:after="0" w:line="240" w:lineRule="auto"/>
        <w:contextualSpacing/>
        <w:jc w:val="both"/>
        <w:rPr>
          <w:rFonts w:ascii="Times New Roman" w:hAnsi="Times New Roman"/>
          <w:sz w:val="24"/>
          <w:szCs w:val="24"/>
          <w:lang w:val="uk-UA"/>
        </w:rPr>
      </w:pP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lastRenderedPageBreak/>
        <w:t>Посада, прізвище, ініціали, підпис уповноваженої особи переможця, завірені печаткою* (у разі її використання).</w:t>
      </w: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6D1F71" w:rsidP="0099225F">
      <w:pPr>
        <w:pStyle w:val="1fa"/>
        <w:numPr>
          <w:ilvl w:val="1"/>
          <w:numId w:val="13"/>
        </w:numPr>
        <w:shd w:val="clear" w:color="auto" w:fill="FFFFFF"/>
        <w:ind w:left="0" w:firstLine="851"/>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Pr="006D1F71">
        <w:rPr>
          <w:rFonts w:ascii="Times New Roman" w:eastAsia="Times New Roman" w:hAnsi="Times New Roman"/>
          <w:b/>
          <w:lang w:val="uk-UA"/>
        </w:rPr>
        <w:t>__________________________________ __________________________________ _______________________. К</w:t>
      </w:r>
      <w:r w:rsidRPr="006D1F71">
        <w:rPr>
          <w:rFonts w:ascii="Times New Roman" w:hAnsi="Times New Roman"/>
          <w:b/>
          <w:lang w:val="uk-UA"/>
        </w:rPr>
        <w:t xml:space="preserve">од за ДК 021:2015: 42120000-6 - Насоси та компресори (42124290-3-Частини відцентрових насосів)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3259AF">
        <w:rPr>
          <w:sz w:val="24"/>
          <w:lang w:val="uk-UA"/>
        </w:rPr>
        <w:t>Миколи Міхновського</w:t>
      </w:r>
      <w:r w:rsidRPr="006D1F71">
        <w:rPr>
          <w:sz w:val="24"/>
          <w:lang w:val="uk-UA"/>
        </w:rPr>
        <w:t>, 48В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lastRenderedPageBreak/>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8C3160"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24"/>
        <w:gridCol w:w="1252"/>
        <w:gridCol w:w="24"/>
        <w:gridCol w:w="1960"/>
      </w:tblGrid>
      <w:tr w:rsidR="006D1F71" w:rsidRPr="006D1F71" w:rsidTr="009B5185">
        <w:tc>
          <w:tcPr>
            <w:tcW w:w="567" w:type="dxa"/>
          </w:tcPr>
          <w:p w:rsidR="006D1F71" w:rsidRPr="006D1F71" w:rsidRDefault="006D1F71" w:rsidP="009B5185">
            <w:pPr>
              <w:pStyle w:val="1fb"/>
              <w:jc w:val="center"/>
              <w:rPr>
                <w:sz w:val="24"/>
                <w:lang w:val="uk-UA"/>
              </w:rPr>
            </w:pPr>
            <w:r w:rsidRPr="006D1F71">
              <w:rPr>
                <w:sz w:val="24"/>
                <w:lang w:val="uk-UA"/>
              </w:rPr>
              <w:t>№ п/п</w:t>
            </w:r>
          </w:p>
        </w:tc>
        <w:tc>
          <w:tcPr>
            <w:tcW w:w="2694" w:type="dxa"/>
          </w:tcPr>
          <w:p w:rsidR="006D1F71" w:rsidRPr="006D1F71" w:rsidRDefault="006D1F71" w:rsidP="009B5185">
            <w:pPr>
              <w:pStyle w:val="1fb"/>
              <w:jc w:val="center"/>
              <w:rPr>
                <w:sz w:val="24"/>
                <w:lang w:val="uk-UA"/>
              </w:rPr>
            </w:pPr>
            <w:r w:rsidRPr="006D1F71">
              <w:rPr>
                <w:sz w:val="24"/>
                <w:lang w:val="uk-UA"/>
              </w:rPr>
              <w:t>Назва товару</w:t>
            </w:r>
          </w:p>
        </w:tc>
        <w:tc>
          <w:tcPr>
            <w:tcW w:w="992" w:type="dxa"/>
          </w:tcPr>
          <w:p w:rsidR="006D1F71" w:rsidRPr="006D1F71" w:rsidRDefault="006D1F71" w:rsidP="009B5185">
            <w:pPr>
              <w:pStyle w:val="1fb"/>
              <w:jc w:val="center"/>
              <w:rPr>
                <w:sz w:val="24"/>
                <w:lang w:val="uk-UA"/>
              </w:rPr>
            </w:pPr>
            <w:r w:rsidRPr="006D1F71">
              <w:rPr>
                <w:sz w:val="24"/>
                <w:lang w:val="uk-UA"/>
              </w:rPr>
              <w:t>Од. виміру</w:t>
            </w:r>
          </w:p>
        </w:tc>
        <w:tc>
          <w:tcPr>
            <w:tcW w:w="709" w:type="dxa"/>
          </w:tcPr>
          <w:p w:rsidR="006D1F71" w:rsidRPr="006D1F71" w:rsidRDefault="006D1F71" w:rsidP="009B5185">
            <w:pPr>
              <w:pStyle w:val="1fb"/>
              <w:jc w:val="center"/>
              <w:rPr>
                <w:sz w:val="24"/>
                <w:lang w:val="uk-UA"/>
              </w:rPr>
            </w:pPr>
            <w:r w:rsidRPr="006D1F71">
              <w:rPr>
                <w:sz w:val="24"/>
                <w:lang w:val="uk-UA"/>
              </w:rPr>
              <w:t>К-ть</w:t>
            </w:r>
          </w:p>
        </w:tc>
        <w:tc>
          <w:tcPr>
            <w:tcW w:w="1275" w:type="dxa"/>
          </w:tcPr>
          <w:p w:rsidR="006D1F71" w:rsidRPr="006D1F71" w:rsidRDefault="006D1F71" w:rsidP="009B5185">
            <w:pPr>
              <w:pStyle w:val="1fb"/>
              <w:jc w:val="center"/>
              <w:rPr>
                <w:sz w:val="24"/>
                <w:lang w:val="uk-UA"/>
              </w:rPr>
            </w:pPr>
            <w:r w:rsidRPr="006D1F71">
              <w:rPr>
                <w:sz w:val="24"/>
                <w:lang w:val="uk-UA"/>
              </w:rPr>
              <w:t>Ціна за одиницю, грн. (без ПДВ)</w:t>
            </w:r>
          </w:p>
        </w:tc>
        <w:tc>
          <w:tcPr>
            <w:tcW w:w="851" w:type="dxa"/>
          </w:tcPr>
          <w:p w:rsidR="006D1F71" w:rsidRPr="006D1F71" w:rsidRDefault="006D1F71" w:rsidP="009B5185">
            <w:pPr>
              <w:pStyle w:val="1fb"/>
              <w:jc w:val="center"/>
              <w:rPr>
                <w:sz w:val="24"/>
                <w:lang w:val="uk-UA"/>
              </w:rPr>
            </w:pPr>
            <w:r w:rsidRPr="006D1F71">
              <w:rPr>
                <w:sz w:val="24"/>
                <w:lang w:val="uk-UA"/>
              </w:rPr>
              <w:t>ПДВ, грн.</w:t>
            </w:r>
          </w:p>
        </w:tc>
        <w:tc>
          <w:tcPr>
            <w:tcW w:w="1276" w:type="dxa"/>
            <w:gridSpan w:val="2"/>
          </w:tcPr>
          <w:p w:rsidR="006D1F71" w:rsidRPr="006D1F71" w:rsidRDefault="006D1F71" w:rsidP="009B5185">
            <w:pPr>
              <w:pStyle w:val="1fb"/>
              <w:jc w:val="center"/>
              <w:rPr>
                <w:sz w:val="24"/>
                <w:lang w:val="uk-UA"/>
              </w:rPr>
            </w:pPr>
            <w:r w:rsidRPr="006D1F71">
              <w:rPr>
                <w:sz w:val="24"/>
                <w:lang w:val="uk-UA"/>
              </w:rPr>
              <w:t>Ціна за одиницю, грн. (з ПДВ)</w:t>
            </w:r>
          </w:p>
        </w:tc>
        <w:tc>
          <w:tcPr>
            <w:tcW w:w="1984" w:type="dxa"/>
            <w:gridSpan w:val="2"/>
          </w:tcPr>
          <w:p w:rsidR="006D1F71" w:rsidRPr="006D1F71" w:rsidRDefault="006D1F71" w:rsidP="009B5185">
            <w:pPr>
              <w:pStyle w:val="1fb"/>
              <w:jc w:val="center"/>
              <w:rPr>
                <w:sz w:val="24"/>
                <w:lang w:val="uk-UA"/>
              </w:rPr>
            </w:pPr>
            <w:r w:rsidRPr="006D1F71">
              <w:rPr>
                <w:sz w:val="24"/>
                <w:lang w:val="uk-UA"/>
              </w:rPr>
              <w:t>Сума, грн. (з ПДВ)</w:t>
            </w:r>
          </w:p>
        </w:tc>
      </w:tr>
      <w:tr w:rsidR="006D1F71" w:rsidRPr="006D1F71" w:rsidTr="009B5185">
        <w:trPr>
          <w:trHeight w:val="261"/>
        </w:trPr>
        <w:tc>
          <w:tcPr>
            <w:tcW w:w="567" w:type="dxa"/>
          </w:tcPr>
          <w:p w:rsidR="006D1F71" w:rsidRPr="006D1F71" w:rsidRDefault="006D1F71" w:rsidP="009B5185">
            <w:pPr>
              <w:pStyle w:val="1fb"/>
              <w:jc w:val="both"/>
              <w:rPr>
                <w:sz w:val="24"/>
                <w:lang w:val="uk-UA"/>
              </w:rPr>
            </w:pPr>
            <w:r w:rsidRPr="006D1F71">
              <w:rPr>
                <w:sz w:val="24"/>
                <w:lang w:val="uk-UA"/>
              </w:rPr>
              <w:t>1.</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2.</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3.</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397"/>
        </w:trPr>
        <w:tc>
          <w:tcPr>
            <w:tcW w:w="7112" w:type="dxa"/>
            <w:gridSpan w:val="7"/>
          </w:tcPr>
          <w:p w:rsidR="006D1F71" w:rsidRPr="006D1F71" w:rsidRDefault="006D1F71" w:rsidP="009B5185">
            <w:pPr>
              <w:pStyle w:val="1fb"/>
              <w:jc w:val="right"/>
              <w:rPr>
                <w:sz w:val="24"/>
                <w:lang w:val="uk-UA"/>
              </w:rPr>
            </w:pPr>
            <w:r w:rsidRPr="006D1F71">
              <w:rPr>
                <w:sz w:val="24"/>
                <w:lang w:val="uk-UA"/>
              </w:rPr>
              <w:t>ВСЬОГО:</w:t>
            </w:r>
          </w:p>
        </w:tc>
        <w:tc>
          <w:tcPr>
            <w:tcW w:w="1276" w:type="dxa"/>
            <w:gridSpan w:val="2"/>
          </w:tcPr>
          <w:p w:rsidR="006D1F71" w:rsidRPr="006D1F71" w:rsidRDefault="006D1F71" w:rsidP="009B5185">
            <w:pPr>
              <w:pStyle w:val="1fb"/>
              <w:jc w:val="center"/>
              <w:rPr>
                <w:sz w:val="24"/>
                <w:lang w:val="uk-UA"/>
              </w:rPr>
            </w:pPr>
          </w:p>
        </w:tc>
        <w:tc>
          <w:tcPr>
            <w:tcW w:w="1960" w:type="dxa"/>
          </w:tcPr>
          <w:p w:rsidR="006D1F71" w:rsidRPr="006D1F71" w:rsidRDefault="006D1F71" w:rsidP="009B5185">
            <w:pPr>
              <w:pStyle w:val="1fb"/>
              <w:jc w:val="center"/>
              <w:rPr>
                <w:sz w:val="24"/>
                <w:lang w:val="uk-UA"/>
              </w:rPr>
            </w:pPr>
          </w:p>
        </w:tc>
      </w:tr>
    </w:tbl>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41" w:rsidRDefault="00C15941" w:rsidP="003C6A04">
      <w:pPr>
        <w:spacing w:after="0" w:line="240" w:lineRule="auto"/>
      </w:pPr>
      <w:r>
        <w:separator/>
      </w:r>
    </w:p>
  </w:endnote>
  <w:endnote w:type="continuationSeparator" w:id="0">
    <w:p w:rsidR="00C15941" w:rsidRDefault="00C15941"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C15941" w:rsidRDefault="0061247D">
        <w:pPr>
          <w:pStyle w:val="ac"/>
          <w:jc w:val="right"/>
        </w:pPr>
        <w:r>
          <w:fldChar w:fldCharType="begin"/>
        </w:r>
        <w:r>
          <w:instrText>PAGE   \* MERGEFORMAT</w:instrText>
        </w:r>
        <w:r>
          <w:fldChar w:fldCharType="separate"/>
        </w:r>
        <w:r w:rsidR="008C3160">
          <w:rPr>
            <w:noProof/>
          </w:rPr>
          <w:t>8</w:t>
        </w:r>
        <w:r>
          <w:rPr>
            <w:noProof/>
          </w:rPr>
          <w:fldChar w:fldCharType="end"/>
        </w:r>
      </w:p>
    </w:sdtContent>
  </w:sdt>
  <w:p w:rsidR="00C15941" w:rsidRDefault="00C1594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41" w:rsidRDefault="00C15941" w:rsidP="003C6A04">
      <w:pPr>
        <w:spacing w:after="0" w:line="240" w:lineRule="auto"/>
      </w:pPr>
      <w:r>
        <w:separator/>
      </w:r>
    </w:p>
  </w:footnote>
  <w:footnote w:type="continuationSeparator" w:id="0">
    <w:p w:rsidR="00C15941" w:rsidRDefault="00C15941"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19"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0"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7"/>
  </w:num>
  <w:num w:numId="11">
    <w:abstractNumId w:val="5"/>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8"/>
  </w:num>
  <w:num w:numId="17">
    <w:abstractNumId w:val="16"/>
  </w:num>
  <w:num w:numId="18">
    <w:abstractNumId w:val="21"/>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74D0E"/>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F7A"/>
    <w:rsid w:val="002A45CC"/>
    <w:rsid w:val="002A4F51"/>
    <w:rsid w:val="002A5721"/>
    <w:rsid w:val="002A6907"/>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56BA"/>
    <w:rsid w:val="002E60CE"/>
    <w:rsid w:val="002E7242"/>
    <w:rsid w:val="002F0A98"/>
    <w:rsid w:val="002F5C57"/>
    <w:rsid w:val="003054D2"/>
    <w:rsid w:val="00307617"/>
    <w:rsid w:val="003109D7"/>
    <w:rsid w:val="00310F19"/>
    <w:rsid w:val="00312D38"/>
    <w:rsid w:val="00314CDF"/>
    <w:rsid w:val="00314D71"/>
    <w:rsid w:val="003171F2"/>
    <w:rsid w:val="00320FE5"/>
    <w:rsid w:val="003259AF"/>
    <w:rsid w:val="0032796F"/>
    <w:rsid w:val="00330C68"/>
    <w:rsid w:val="00332315"/>
    <w:rsid w:val="00334C9F"/>
    <w:rsid w:val="0033620C"/>
    <w:rsid w:val="00336FED"/>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F08"/>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DEC"/>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247D"/>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160"/>
    <w:rsid w:val="008C3B14"/>
    <w:rsid w:val="008C4F67"/>
    <w:rsid w:val="008C587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1895"/>
    <w:rsid w:val="0096207F"/>
    <w:rsid w:val="00963C7F"/>
    <w:rsid w:val="0097309C"/>
    <w:rsid w:val="00974617"/>
    <w:rsid w:val="00976300"/>
    <w:rsid w:val="009771F5"/>
    <w:rsid w:val="00980400"/>
    <w:rsid w:val="00980D5B"/>
    <w:rsid w:val="0098693D"/>
    <w:rsid w:val="009876B3"/>
    <w:rsid w:val="00990452"/>
    <w:rsid w:val="00991EA4"/>
    <w:rsid w:val="0099225F"/>
    <w:rsid w:val="00996BAC"/>
    <w:rsid w:val="009A1EDB"/>
    <w:rsid w:val="009A7095"/>
    <w:rsid w:val="009B19C9"/>
    <w:rsid w:val="009B3B8B"/>
    <w:rsid w:val="009B5185"/>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B737C"/>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E27E7"/>
    <w:rsid w:val="00BE4CBE"/>
    <w:rsid w:val="00BE4F66"/>
    <w:rsid w:val="00BE6B21"/>
    <w:rsid w:val="00BE7D65"/>
    <w:rsid w:val="00BF3BDD"/>
    <w:rsid w:val="00BF78EE"/>
    <w:rsid w:val="00C02408"/>
    <w:rsid w:val="00C02BAB"/>
    <w:rsid w:val="00C041CF"/>
    <w:rsid w:val="00C04948"/>
    <w:rsid w:val="00C0498D"/>
    <w:rsid w:val="00C05DCB"/>
    <w:rsid w:val="00C065AD"/>
    <w:rsid w:val="00C06E3A"/>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A57"/>
    <w:rsid w:val="00C50A1E"/>
    <w:rsid w:val="00C50AD3"/>
    <w:rsid w:val="00C542F5"/>
    <w:rsid w:val="00C572DE"/>
    <w:rsid w:val="00C601E8"/>
    <w:rsid w:val="00C60A6C"/>
    <w:rsid w:val="00C635AD"/>
    <w:rsid w:val="00C635D0"/>
    <w:rsid w:val="00C63D7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7FDD"/>
    <w:rsid w:val="00F419CF"/>
    <w:rsid w:val="00F42898"/>
    <w:rsid w:val="00F42934"/>
    <w:rsid w:val="00F455EF"/>
    <w:rsid w:val="00F463F5"/>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1B1CBCB"/>
  <w15:docId w15:val="{52B71B46-3757-4FBF-AB7E-C8688D74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A7BC-F608-4EF8-8F11-9645C6C8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31</Pages>
  <Words>13513</Words>
  <Characters>77026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57</cp:revision>
  <cp:lastPrinted>2023-03-10T07:43:00Z</cp:lastPrinted>
  <dcterms:created xsi:type="dcterms:W3CDTF">2023-01-06T13:32:00Z</dcterms:created>
  <dcterms:modified xsi:type="dcterms:W3CDTF">2023-03-16T13:16:00Z</dcterms:modified>
</cp:coreProperties>
</file>