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F" w:rsidRDefault="0012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ПРОЄКТ</w:t>
      </w:r>
    </w:p>
    <w:p w:rsidR="001272BF" w:rsidRDefault="0012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540794" w:rsidRPr="00FA0CB7" w:rsidRDefault="005407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Райківці</w:t>
      </w:r>
      <w:proofErr w:type="spellEnd"/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540794">
        <w:rPr>
          <w:rFonts w:ascii="Times New Roman" w:hAnsi="Times New Roman" w:cs="Times New Roman"/>
          <w:b/>
          <w:color w:val="auto"/>
          <w:sz w:val="23"/>
          <w:szCs w:val="23"/>
        </w:rPr>
        <w:t>травня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1834ED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4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540794" w:rsidRPr="00433D96" w:rsidRDefault="00540794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556958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</w:t>
      </w:r>
      <w:r w:rsidR="00556958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>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55695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 w:rsidP="0055695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C91A96">
        <w:rPr>
          <w:rFonts w:ascii="Times New Roman" w:hAnsi="Times New Roman" w:cs="Times New Roman"/>
          <w:lang w:val="uk-UA"/>
        </w:rPr>
        <w:t>Дизельне паливо</w:t>
      </w:r>
      <w:bookmarkStart w:id="1" w:name="_GoBack"/>
      <w:bookmarkEnd w:id="1"/>
      <w:r w:rsidR="00D1355E">
        <w:rPr>
          <w:rFonts w:ascii="Times New Roman" w:hAnsi="Times New Roman" w:cs="Times New Roman"/>
          <w:lang w:val="uk-UA"/>
        </w:rPr>
        <w:t xml:space="preserve"> (Євро 5)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о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визначається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пця бланках-дозволах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Для відпуску палива приймаються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834E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24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бланки-дозвола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1834ED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4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="001834E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Київ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МФО 820172</w:t>
            </w:r>
          </w:p>
          <w:p w:rsidR="00CD5421" w:rsidRDefault="00EE7400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1834E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т</w:t>
      </w:r>
      <w:r w:rsidR="0054079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рав</w:t>
      </w:r>
      <w:r w:rsidR="001834E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1834E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4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304"/>
        <w:gridCol w:w="1248"/>
        <w:gridCol w:w="1701"/>
        <w:gridCol w:w="1842"/>
      </w:tblGrid>
      <w:tr w:rsidR="00540794" w:rsidRPr="00FA0CB7" w:rsidTr="00540794">
        <w:tc>
          <w:tcPr>
            <w:tcW w:w="675" w:type="dxa"/>
            <w:vAlign w:val="center"/>
          </w:tcPr>
          <w:p w:rsidR="00540794" w:rsidRPr="00FA0CB7" w:rsidRDefault="00540794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540794" w:rsidRPr="00FA0CB7" w:rsidRDefault="00540794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977" w:type="dxa"/>
            <w:vAlign w:val="center"/>
          </w:tcPr>
          <w:p w:rsidR="00540794" w:rsidRPr="00FA0CB7" w:rsidRDefault="00540794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540794" w:rsidRPr="00FA0CB7" w:rsidRDefault="00540794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304" w:type="dxa"/>
            <w:vAlign w:val="center"/>
          </w:tcPr>
          <w:p w:rsidR="00540794" w:rsidRPr="00540794" w:rsidRDefault="00540794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248" w:type="dxa"/>
            <w:vAlign w:val="center"/>
          </w:tcPr>
          <w:p w:rsidR="00540794" w:rsidRPr="00540794" w:rsidRDefault="00540794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40794" w:rsidRPr="00540794" w:rsidRDefault="00540794" w:rsidP="00540794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</w:t>
            </w: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и</w:t>
            </w: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цю, з ПДВ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або без </w:t>
            </w: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ПДВ</w:t>
            </w:r>
          </w:p>
          <w:p w:rsidR="00540794" w:rsidRPr="00540794" w:rsidRDefault="00540794" w:rsidP="00540794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842" w:type="dxa"/>
            <w:vAlign w:val="center"/>
          </w:tcPr>
          <w:p w:rsidR="00540794" w:rsidRPr="00540794" w:rsidRDefault="00540794" w:rsidP="00540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Загаль</w:t>
            </w: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сума</w:t>
            </w: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, з ПДВ або без ПДВ</w:t>
            </w:r>
          </w:p>
          <w:p w:rsidR="00540794" w:rsidRPr="00540794" w:rsidRDefault="00540794" w:rsidP="00540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</w:tr>
      <w:tr w:rsidR="00540794" w:rsidRPr="00FA0CB7" w:rsidTr="00540794">
        <w:trPr>
          <w:trHeight w:val="415"/>
        </w:trPr>
        <w:tc>
          <w:tcPr>
            <w:tcW w:w="675" w:type="dxa"/>
            <w:vAlign w:val="center"/>
          </w:tcPr>
          <w:p w:rsidR="00540794" w:rsidRPr="00FA0CB7" w:rsidRDefault="00540794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:rsidR="00540794" w:rsidRPr="00D1355E" w:rsidRDefault="00C91A96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Дизельне паливо</w:t>
            </w:r>
            <w:r w:rsidR="00D1355E">
              <w:rPr>
                <w:rFonts w:ascii="Times New Roman" w:hAnsi="Times New Roman" w:cs="Times New Roman"/>
                <w:lang w:val="uk-UA"/>
              </w:rPr>
              <w:t xml:space="preserve"> (Євро 5), т</w:t>
            </w:r>
            <w:r w:rsidR="00D1355E">
              <w:rPr>
                <w:rFonts w:ascii="Times New Roman" w:hAnsi="Times New Roman" w:cs="Times New Roman"/>
                <w:lang w:val="uk-UA"/>
              </w:rPr>
              <w:t>а</w:t>
            </w:r>
            <w:r w:rsidR="00D1355E">
              <w:rPr>
                <w:rFonts w:ascii="Times New Roman" w:hAnsi="Times New Roman" w:cs="Times New Roman"/>
                <w:lang w:val="uk-UA"/>
              </w:rPr>
              <w:t>лон, 1л.</w:t>
            </w:r>
          </w:p>
        </w:tc>
        <w:tc>
          <w:tcPr>
            <w:tcW w:w="1304" w:type="dxa"/>
            <w:vAlign w:val="center"/>
          </w:tcPr>
          <w:p w:rsidR="00540794" w:rsidRPr="00FA0CB7" w:rsidRDefault="00540794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540794" w:rsidRPr="00FA0CB7" w:rsidRDefault="00540794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1701" w:type="dxa"/>
            <w:vAlign w:val="center"/>
          </w:tcPr>
          <w:p w:rsidR="00540794" w:rsidRPr="00500500" w:rsidRDefault="00C91A96" w:rsidP="00B41B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</w:t>
            </w:r>
            <w:r w:rsidR="005407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2" w:type="dxa"/>
            <w:vAlign w:val="center"/>
          </w:tcPr>
          <w:p w:rsidR="00540794" w:rsidRPr="00500500" w:rsidRDefault="00540794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540794" w:rsidRPr="00FA0CB7" w:rsidTr="00540794">
        <w:trPr>
          <w:trHeight w:val="408"/>
        </w:trPr>
        <w:tc>
          <w:tcPr>
            <w:tcW w:w="9747" w:type="dxa"/>
            <w:gridSpan w:val="6"/>
            <w:vAlign w:val="center"/>
          </w:tcPr>
          <w:p w:rsidR="00540794" w:rsidRPr="00FA0CB7" w:rsidRDefault="00540794" w:rsidP="00540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</w:tr>
    </w:tbl>
    <w:p w:rsidR="00171413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540794" w:rsidRPr="00FA0CB7" w:rsidRDefault="00540794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EE7400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00" w:rsidRDefault="00EE7400">
      <w:pPr>
        <w:spacing w:after="0" w:line="240" w:lineRule="auto"/>
      </w:pPr>
      <w:r>
        <w:separator/>
      </w:r>
    </w:p>
  </w:endnote>
  <w:endnote w:type="continuationSeparator" w:id="0">
    <w:p w:rsidR="00EE7400" w:rsidRDefault="00EE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C91A96">
      <w:rPr>
        <w:noProof/>
        <w:sz w:val="20"/>
        <w:szCs w:val="20"/>
      </w:rPr>
      <w:t>1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C91A96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00" w:rsidRDefault="00EE7400">
      <w:pPr>
        <w:spacing w:after="0" w:line="240" w:lineRule="auto"/>
      </w:pPr>
      <w:r>
        <w:separator/>
      </w:r>
    </w:p>
  </w:footnote>
  <w:footnote w:type="continuationSeparator" w:id="0">
    <w:p w:rsidR="00EE7400" w:rsidRDefault="00EE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B50BC"/>
    <w:rsid w:val="000D16EB"/>
    <w:rsid w:val="000E7625"/>
    <w:rsid w:val="0010323E"/>
    <w:rsid w:val="001255EF"/>
    <w:rsid w:val="0012619D"/>
    <w:rsid w:val="001272BF"/>
    <w:rsid w:val="00135A8D"/>
    <w:rsid w:val="0014144F"/>
    <w:rsid w:val="001530A7"/>
    <w:rsid w:val="00170E2D"/>
    <w:rsid w:val="00171413"/>
    <w:rsid w:val="001834ED"/>
    <w:rsid w:val="00197945"/>
    <w:rsid w:val="001A00C1"/>
    <w:rsid w:val="001A09ED"/>
    <w:rsid w:val="001A21C4"/>
    <w:rsid w:val="001C7C92"/>
    <w:rsid w:val="001D0BAD"/>
    <w:rsid w:val="001E501A"/>
    <w:rsid w:val="00203AE6"/>
    <w:rsid w:val="00220EB2"/>
    <w:rsid w:val="00255A58"/>
    <w:rsid w:val="002630C3"/>
    <w:rsid w:val="0028542B"/>
    <w:rsid w:val="00290C42"/>
    <w:rsid w:val="00296F9D"/>
    <w:rsid w:val="002E53D8"/>
    <w:rsid w:val="002F03B3"/>
    <w:rsid w:val="002F11B0"/>
    <w:rsid w:val="00300A2A"/>
    <w:rsid w:val="003229C6"/>
    <w:rsid w:val="00340171"/>
    <w:rsid w:val="00342BC4"/>
    <w:rsid w:val="00345A49"/>
    <w:rsid w:val="00353D96"/>
    <w:rsid w:val="00373929"/>
    <w:rsid w:val="003B17E9"/>
    <w:rsid w:val="003B66C4"/>
    <w:rsid w:val="003B7A43"/>
    <w:rsid w:val="003E66C4"/>
    <w:rsid w:val="003F0033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40794"/>
    <w:rsid w:val="00556958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05F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911D27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43095"/>
    <w:rsid w:val="00A45835"/>
    <w:rsid w:val="00A810D6"/>
    <w:rsid w:val="00AB3D9E"/>
    <w:rsid w:val="00AC1AAA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41B79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40BE7"/>
    <w:rsid w:val="00C90A61"/>
    <w:rsid w:val="00C91A96"/>
    <w:rsid w:val="00CA2D69"/>
    <w:rsid w:val="00CB498A"/>
    <w:rsid w:val="00CD5421"/>
    <w:rsid w:val="00CF2760"/>
    <w:rsid w:val="00D016AD"/>
    <w:rsid w:val="00D1355E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D0F53"/>
    <w:rsid w:val="00ED46AD"/>
    <w:rsid w:val="00ED5B05"/>
    <w:rsid w:val="00EE7400"/>
    <w:rsid w:val="00F37E15"/>
    <w:rsid w:val="00F45090"/>
    <w:rsid w:val="00F61F7E"/>
    <w:rsid w:val="00F6786C"/>
    <w:rsid w:val="00F8571A"/>
    <w:rsid w:val="00FA0CB7"/>
    <w:rsid w:val="00FA4433"/>
    <w:rsid w:val="00FA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1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1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3447-085E-4023-ACBD-8D332A11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10524</Words>
  <Characters>5999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2023-01-31T09:09:00Z</cp:lastPrinted>
  <dcterms:created xsi:type="dcterms:W3CDTF">2024-04-17T05:17:00Z</dcterms:created>
  <dcterms:modified xsi:type="dcterms:W3CDTF">2024-05-01T11:40:00Z</dcterms:modified>
  <dc:language>ru-RU</dc:language>
</cp:coreProperties>
</file>