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0A" w:rsidRDefault="00AB340A" w:rsidP="00A229AC">
      <w:pPr>
        <w:spacing w:after="0" w:line="240" w:lineRule="auto"/>
        <w:ind w:left="5660"/>
        <w:jc w:val="right"/>
        <w:rPr>
          <w:rFonts w:ascii="Times New Roman" w:eastAsia="Times New Roman" w:hAnsi="Times New Roman" w:cs="Times New Roman"/>
          <w:b/>
          <w:color w:val="000000"/>
          <w:sz w:val="24"/>
          <w:szCs w:val="24"/>
        </w:rPr>
      </w:pPr>
    </w:p>
    <w:p w:rsidR="00AB340A" w:rsidRDefault="00D54B63" w:rsidP="00A229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B340A" w:rsidRDefault="00D54B63" w:rsidP="00A229A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B340A" w:rsidRDefault="00D54B63" w:rsidP="00A229AC">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B340A" w:rsidRDefault="00AB340A" w:rsidP="00A229AC">
      <w:pPr>
        <w:spacing w:after="0" w:line="240" w:lineRule="auto"/>
        <w:rPr>
          <w:rFonts w:ascii="Times New Roman" w:eastAsia="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1"/>
        <w:gridCol w:w="7512"/>
      </w:tblGrid>
      <w:tr w:rsidR="007715AB" w:rsidRPr="00127181" w:rsidTr="009522EB">
        <w:trPr>
          <w:trHeight w:val="224"/>
        </w:trPr>
        <w:tc>
          <w:tcPr>
            <w:tcW w:w="1188" w:type="pct"/>
            <w:vAlign w:val="center"/>
          </w:tcPr>
          <w:p w:rsidR="007715AB" w:rsidRPr="00127181" w:rsidRDefault="007715AB" w:rsidP="00A229AC">
            <w:pPr>
              <w:spacing w:after="0" w:line="240" w:lineRule="auto"/>
              <w:jc w:val="center"/>
              <w:rPr>
                <w:rFonts w:ascii="Times New Roman" w:hAnsi="Times New Roman" w:cs="Times New Roman"/>
                <w:b/>
              </w:rPr>
            </w:pPr>
            <w:r w:rsidRPr="00127181">
              <w:rPr>
                <w:rFonts w:ascii="Times New Roman" w:hAnsi="Times New Roman" w:cs="Times New Roman"/>
                <w:b/>
                <w:shd w:val="clear" w:color="auto" w:fill="FDFEFD"/>
              </w:rPr>
              <w:t>ДК 021:2015: 15530000-2</w:t>
            </w:r>
          </w:p>
        </w:tc>
        <w:tc>
          <w:tcPr>
            <w:tcW w:w="3812" w:type="pct"/>
            <w:vAlign w:val="center"/>
          </w:tcPr>
          <w:p w:rsidR="007715AB" w:rsidRPr="00127181" w:rsidRDefault="007715AB" w:rsidP="00A229AC">
            <w:pPr>
              <w:spacing w:after="0" w:line="240" w:lineRule="auto"/>
              <w:jc w:val="center"/>
              <w:rPr>
                <w:rFonts w:ascii="Times New Roman" w:hAnsi="Times New Roman" w:cs="Times New Roman"/>
                <w:b/>
                <w:shd w:val="clear" w:color="auto" w:fill="FFFFFF"/>
              </w:rPr>
            </w:pPr>
            <w:r w:rsidRPr="00127181">
              <w:rPr>
                <w:rFonts w:ascii="Times New Roman" w:hAnsi="Times New Roman" w:cs="Times New Roman"/>
                <w:b/>
                <w:shd w:val="clear" w:color="auto" w:fill="FDFEFD"/>
              </w:rPr>
              <w:t>Вершкове масло</w:t>
            </w:r>
          </w:p>
        </w:tc>
      </w:tr>
      <w:tr w:rsidR="007715AB" w:rsidRPr="00127181" w:rsidTr="009522EB">
        <w:tc>
          <w:tcPr>
            <w:tcW w:w="1188" w:type="pct"/>
            <w:vAlign w:val="center"/>
          </w:tcPr>
          <w:p w:rsidR="007715AB" w:rsidRPr="00127181" w:rsidRDefault="007715AB" w:rsidP="00A229AC">
            <w:pPr>
              <w:spacing w:after="0" w:line="240" w:lineRule="auto"/>
              <w:rPr>
                <w:rFonts w:ascii="Times New Roman" w:hAnsi="Times New Roman" w:cs="Times New Roman"/>
              </w:rPr>
            </w:pPr>
            <w:r w:rsidRPr="00127181">
              <w:rPr>
                <w:rFonts w:ascii="Times New Roman" w:hAnsi="Times New Roman" w:cs="Times New Roman"/>
              </w:rPr>
              <w:t>Технічні характеристики</w:t>
            </w:r>
          </w:p>
        </w:tc>
        <w:tc>
          <w:tcPr>
            <w:tcW w:w="3812" w:type="pct"/>
          </w:tcPr>
          <w:p w:rsidR="009522EB" w:rsidRPr="009522EB" w:rsidRDefault="009522EB" w:rsidP="00A229AC">
            <w:pPr>
              <w:spacing w:after="0" w:line="240" w:lineRule="auto"/>
              <w:ind w:left="67"/>
              <w:rPr>
                <w:rFonts w:ascii="Times New Roman" w:hAnsi="Times New Roman" w:cs="Times New Roman"/>
                <w:bCs/>
              </w:rPr>
            </w:pPr>
            <w:r w:rsidRPr="009522EB">
              <w:rPr>
                <w:rFonts w:ascii="Times New Roman" w:hAnsi="Times New Roman" w:cs="Times New Roman"/>
                <w:bCs/>
              </w:rPr>
              <w:t>740 кг.</w:t>
            </w:r>
          </w:p>
          <w:p w:rsidR="007715AB" w:rsidRPr="00127181" w:rsidRDefault="007715AB" w:rsidP="00D73F0E">
            <w:pPr>
              <w:spacing w:after="0" w:line="240" w:lineRule="auto"/>
              <w:ind w:left="67"/>
              <w:rPr>
                <w:rFonts w:ascii="Times New Roman" w:hAnsi="Times New Roman" w:cs="Times New Roman"/>
              </w:rPr>
            </w:pPr>
            <w:r w:rsidRPr="00127181">
              <w:rPr>
                <w:rFonts w:ascii="Times New Roman" w:hAnsi="Times New Roman" w:cs="Times New Roman"/>
                <w:b/>
                <w:bCs/>
                <w:u w:val="single"/>
              </w:rPr>
              <w:t>Масло вершкове  ж</w:t>
            </w:r>
            <w:r>
              <w:rPr>
                <w:rFonts w:ascii="Times New Roman" w:hAnsi="Times New Roman" w:cs="Times New Roman"/>
                <w:b/>
                <w:bCs/>
                <w:u w:val="single"/>
              </w:rPr>
              <w:t xml:space="preserve">ирності не </w:t>
            </w:r>
            <w:r w:rsidR="00D73F0E">
              <w:rPr>
                <w:rFonts w:ascii="Times New Roman" w:hAnsi="Times New Roman" w:cs="Times New Roman"/>
                <w:b/>
                <w:bCs/>
                <w:u w:val="single"/>
              </w:rPr>
              <w:t xml:space="preserve">менше </w:t>
            </w:r>
            <w:r w:rsidR="00BC7629">
              <w:rPr>
                <w:rFonts w:ascii="Times New Roman" w:hAnsi="Times New Roman" w:cs="Times New Roman"/>
                <w:b/>
                <w:bCs/>
                <w:u w:val="single"/>
              </w:rPr>
              <w:t xml:space="preserve">72,5% </w:t>
            </w:r>
            <w:r>
              <w:rPr>
                <w:rFonts w:ascii="Times New Roman" w:hAnsi="Times New Roman" w:cs="Times New Roman"/>
              </w:rPr>
              <w:t>–</w:t>
            </w:r>
            <w:r w:rsidRPr="00127181">
              <w:rPr>
                <w:rFonts w:ascii="Times New Roman" w:hAnsi="Times New Roman" w:cs="Times New Roman"/>
              </w:rPr>
              <w:t xml:space="preserve"> без домішок. </w:t>
            </w:r>
            <w:r>
              <w:rPr>
                <w:rFonts w:ascii="Times New Roman" w:hAnsi="Times New Roman" w:cs="Times New Roman"/>
              </w:rPr>
              <w:t xml:space="preserve">ДСТУ 4399:2005. </w:t>
            </w:r>
            <w:r w:rsidRPr="00127181">
              <w:rPr>
                <w:rFonts w:ascii="Times New Roman" w:hAnsi="Times New Roman" w:cs="Times New Roman"/>
              </w:rPr>
              <w:t xml:space="preserve">Масло повинно  мати характерний смак і запах. Склад – вершки коров’ячого молока. Консистенція масла однорідна, пластична, поверхня на розрізі трішки блискуча, суха, без видимих крапель води; колір від білого до світло – жовтого. В розтопленому вигляді масло прозоре і не має осаду. Вміст жиру не менше 72,5%; вологість не більше 25%. Тара не пошкоджена, чиста. Обов’язкова наявність пакувального ярлика. Кожна партія сировини супроводжується документом, що підтверджує її відповідність нормативним документам. При маркуванні зазначаються: назва і адреса виробника, повна назва продукту, його склад, кінцева дата споживання або дата виробництва та строк придатності, умови зберігання, </w:t>
            </w:r>
            <w:proofErr w:type="spellStart"/>
            <w:r w:rsidR="00BC7629">
              <w:rPr>
                <w:rFonts w:ascii="Times New Roman" w:hAnsi="Times New Roman" w:cs="Times New Roman"/>
              </w:rPr>
              <w:t>м</w:t>
            </w:r>
            <w:r>
              <w:rPr>
                <w:rFonts w:ascii="Times New Roman" w:hAnsi="Times New Roman" w:cs="Times New Roman"/>
              </w:rPr>
              <w:t>асса</w:t>
            </w:r>
            <w:proofErr w:type="spellEnd"/>
            <w:r w:rsidRPr="00127181">
              <w:rPr>
                <w:rFonts w:ascii="Times New Roman" w:hAnsi="Times New Roman" w:cs="Times New Roman"/>
              </w:rPr>
              <w:t xml:space="preserve"> нетто, брутто, тара, номер партії, інформаційні дані про харчову цінність 100 г продукту, штрих-код ЕАН та ін.</w:t>
            </w:r>
          </w:p>
        </w:tc>
      </w:tr>
    </w:tbl>
    <w:p w:rsidR="003103B1" w:rsidRDefault="003103B1" w:rsidP="00A229AC">
      <w:pPr>
        <w:spacing w:after="0" w:line="240" w:lineRule="auto"/>
        <w:rPr>
          <w:rFonts w:ascii="Times New Roman" w:eastAsia="Times New Roman" w:hAnsi="Times New Roman" w:cs="Times New Roman"/>
          <w:i/>
          <w:sz w:val="24"/>
          <w:szCs w:val="24"/>
        </w:rPr>
      </w:pPr>
    </w:p>
    <w:p w:rsidR="00AB340A" w:rsidRDefault="00D54B63" w:rsidP="00A229AC">
      <w:pPr>
        <w:shd w:val="clear" w:color="auto" w:fill="FFFFFF"/>
        <w:tabs>
          <w:tab w:val="left" w:pos="993"/>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AB340A" w:rsidRPr="007715AB" w:rsidRDefault="00D54B63" w:rsidP="00A229AC">
      <w:pPr>
        <w:pStyle w:val="af7"/>
        <w:numPr>
          <w:ilvl w:val="0"/>
          <w:numId w:val="6"/>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rPr>
      </w:pPr>
      <w:r w:rsidRPr="007715AB">
        <w:rPr>
          <w:rFonts w:ascii="Times New Roman" w:eastAsia="Times New Roman" w:hAnsi="Times New Roman" w:cs="Times New Roman"/>
          <w:sz w:val="24"/>
          <w:szCs w:val="24"/>
        </w:rPr>
        <w:t xml:space="preserve"> технічна специфікація, складена учасником згідно </w:t>
      </w:r>
      <w:r w:rsidRPr="007715AB">
        <w:rPr>
          <w:rFonts w:ascii="Times New Roman" w:eastAsia="Times New Roman" w:hAnsi="Times New Roman" w:cs="Times New Roman"/>
          <w:b/>
          <w:sz w:val="24"/>
          <w:szCs w:val="24"/>
        </w:rPr>
        <w:t>Таблиці 1</w:t>
      </w:r>
      <w:r w:rsidRPr="007715AB">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7715AB">
        <w:rPr>
          <w:rFonts w:ascii="Times New Roman" w:eastAsia="Times New Roman" w:hAnsi="Times New Roman" w:cs="Times New Roman"/>
          <w:b/>
          <w:sz w:val="24"/>
          <w:szCs w:val="24"/>
        </w:rPr>
        <w:t>**</w:t>
      </w:r>
      <w:r w:rsidRPr="007715AB">
        <w:rPr>
          <w:rFonts w:ascii="Times New Roman" w:eastAsia="Times New Roman" w:hAnsi="Times New Roman" w:cs="Times New Roman"/>
          <w:b/>
          <w:i/>
          <w:sz w:val="24"/>
          <w:szCs w:val="24"/>
        </w:rPr>
        <w:t>у</w:t>
      </w:r>
      <w:r w:rsidRPr="007715AB">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7715AB">
        <w:rPr>
          <w:rFonts w:ascii="Times New Roman" w:eastAsia="Times New Roman" w:hAnsi="Times New Roman" w:cs="Times New Roman"/>
          <w:b/>
          <w:i/>
          <w:color w:val="000000"/>
          <w:sz w:val="24"/>
          <w:szCs w:val="24"/>
          <w:u w:val="single"/>
        </w:rPr>
        <w:t>надає митну декларацію</w:t>
      </w:r>
      <w:r w:rsidRPr="007715AB">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7715AB">
        <w:rPr>
          <w:rFonts w:ascii="Times New Roman" w:eastAsia="Times New Roman" w:hAnsi="Times New Roman" w:cs="Times New Roman"/>
          <w:color w:val="000000"/>
          <w:sz w:val="24"/>
          <w:szCs w:val="24"/>
        </w:rPr>
        <w:t xml:space="preserve">; </w:t>
      </w:r>
      <w:r w:rsidRPr="007715AB">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B340A" w:rsidRDefault="00D54B63" w:rsidP="00A229AC">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4996" w:type="pct"/>
        <w:tblBorders>
          <w:insideH w:val="nil"/>
          <w:insideV w:val="nil"/>
        </w:tblBorders>
        <w:tblLook w:val="0600"/>
      </w:tblPr>
      <w:tblGrid>
        <w:gridCol w:w="775"/>
        <w:gridCol w:w="2251"/>
        <w:gridCol w:w="2383"/>
        <w:gridCol w:w="1192"/>
        <w:gridCol w:w="1619"/>
        <w:gridCol w:w="1617"/>
      </w:tblGrid>
      <w:tr w:rsidR="00DF7E80" w:rsidTr="009522EB">
        <w:trPr>
          <w:trHeight w:val="402"/>
        </w:trPr>
        <w:tc>
          <w:tcPr>
            <w:tcW w:w="3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white"/>
              </w:rPr>
            </w:pPr>
            <w:bookmarkStart w:id="0" w:name="_heading=h.gjdgxs" w:colFirst="0" w:colLast="0"/>
            <w:bookmarkEnd w:id="0"/>
            <w:r w:rsidRPr="009522EB">
              <w:rPr>
                <w:rFonts w:ascii="Times New Roman" w:eastAsia="Times New Roman" w:hAnsi="Times New Roman" w:cs="Times New Roman"/>
                <w:i/>
                <w:szCs w:val="24"/>
                <w:highlight w:val="white"/>
              </w:rPr>
              <w:t>№ з/п</w:t>
            </w:r>
          </w:p>
        </w:tc>
        <w:tc>
          <w:tcPr>
            <w:tcW w:w="1144"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white"/>
              </w:rPr>
            </w:pPr>
            <w:r w:rsidRPr="009522EB">
              <w:rPr>
                <w:rFonts w:ascii="Times New Roman" w:eastAsia="Times New Roman" w:hAnsi="Times New Roman" w:cs="Times New Roman"/>
                <w:i/>
                <w:szCs w:val="24"/>
                <w:highlight w:val="white"/>
              </w:rPr>
              <w:t>Найменування  товару</w:t>
            </w:r>
          </w:p>
        </w:tc>
        <w:tc>
          <w:tcPr>
            <w:tcW w:w="1211" w:type="pct"/>
            <w:tcBorders>
              <w:top w:val="single" w:sz="8" w:space="0" w:color="000000"/>
              <w:left w:val="nil"/>
              <w:bottom w:val="single" w:sz="8" w:space="0" w:color="000000"/>
              <w:right w:val="single" w:sz="4" w:space="0" w:color="000000"/>
            </w:tcBorders>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yellow"/>
              </w:rPr>
            </w:pPr>
            <w:r w:rsidRPr="009522EB">
              <w:rPr>
                <w:rFonts w:ascii="Times New Roman" w:eastAsia="Times New Roman" w:hAnsi="Times New Roman" w:cs="Times New Roman"/>
                <w:i/>
                <w:szCs w:val="24"/>
                <w:highlight w:val="white"/>
              </w:rPr>
              <w:t>Технічні характеристики товару</w:t>
            </w:r>
          </w:p>
        </w:tc>
        <w:tc>
          <w:tcPr>
            <w:tcW w:w="606" w:type="pc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white"/>
              </w:rPr>
            </w:pPr>
            <w:r w:rsidRPr="009522EB">
              <w:rPr>
                <w:rFonts w:ascii="Times New Roman" w:eastAsia="Times New Roman" w:hAnsi="Times New Roman" w:cs="Times New Roman"/>
                <w:i/>
                <w:szCs w:val="24"/>
                <w:highlight w:val="white"/>
              </w:rPr>
              <w:t>Од. виміру</w:t>
            </w:r>
          </w:p>
        </w:tc>
        <w:tc>
          <w:tcPr>
            <w:tcW w:w="823"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white"/>
              </w:rPr>
            </w:pPr>
            <w:r w:rsidRPr="009522EB">
              <w:rPr>
                <w:rFonts w:ascii="Times New Roman" w:eastAsia="Times New Roman" w:hAnsi="Times New Roman" w:cs="Times New Roman"/>
                <w:i/>
                <w:szCs w:val="24"/>
                <w:highlight w:val="white"/>
              </w:rPr>
              <w:t>Кількість</w:t>
            </w:r>
          </w:p>
        </w:tc>
        <w:tc>
          <w:tcPr>
            <w:tcW w:w="822" w:type="pct"/>
            <w:tcBorders>
              <w:top w:val="single" w:sz="8" w:space="0" w:color="000000"/>
              <w:left w:val="nil"/>
              <w:bottom w:val="single" w:sz="8" w:space="0" w:color="000000"/>
              <w:right w:val="single" w:sz="8" w:space="0" w:color="000000"/>
            </w:tcBorders>
            <w:vAlign w:val="center"/>
            <w:hideMark/>
          </w:tcPr>
          <w:p w:rsidR="00DF7E80" w:rsidRPr="009522EB" w:rsidRDefault="00DF7E80" w:rsidP="00A229AC">
            <w:pPr>
              <w:spacing w:after="0" w:line="240" w:lineRule="auto"/>
              <w:jc w:val="center"/>
              <w:rPr>
                <w:rFonts w:ascii="Times New Roman" w:eastAsia="Times New Roman" w:hAnsi="Times New Roman" w:cs="Times New Roman"/>
                <w:i/>
                <w:szCs w:val="24"/>
                <w:highlight w:val="white"/>
                <w:vertAlign w:val="superscript"/>
              </w:rPr>
            </w:pPr>
            <w:r w:rsidRPr="009522EB">
              <w:rPr>
                <w:rFonts w:ascii="Times New Roman" w:eastAsia="Times New Roman" w:hAnsi="Times New Roman" w:cs="Times New Roman"/>
                <w:i/>
                <w:szCs w:val="24"/>
                <w:highlight w:val="white"/>
              </w:rPr>
              <w:t>Ціна за одиницю товару без ПДВ/ з ПДВ</w:t>
            </w:r>
            <w:r w:rsidRPr="009522EB">
              <w:rPr>
                <w:rFonts w:ascii="Times New Roman" w:eastAsia="Times New Roman" w:hAnsi="Times New Roman" w:cs="Times New Roman"/>
                <w:i/>
                <w:szCs w:val="24"/>
                <w:highlight w:val="white"/>
                <w:vertAlign w:val="superscript"/>
              </w:rPr>
              <w:t>*</w:t>
            </w:r>
          </w:p>
        </w:tc>
      </w:tr>
      <w:tr w:rsidR="00DF7E80" w:rsidTr="009522EB">
        <w:trPr>
          <w:trHeight w:val="20"/>
        </w:trPr>
        <w:tc>
          <w:tcPr>
            <w:tcW w:w="394"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1</w:t>
            </w:r>
          </w:p>
        </w:tc>
        <w:tc>
          <w:tcPr>
            <w:tcW w:w="1144" w:type="pct"/>
            <w:tcBorders>
              <w:top w:val="nil"/>
              <w:left w:val="nil"/>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2</w:t>
            </w:r>
          </w:p>
        </w:tc>
        <w:tc>
          <w:tcPr>
            <w:tcW w:w="1211" w:type="pct"/>
            <w:tcBorders>
              <w:top w:val="nil"/>
              <w:left w:val="nil"/>
              <w:bottom w:val="single" w:sz="8" w:space="0" w:color="000000"/>
              <w:right w:val="single" w:sz="4" w:space="0" w:color="000000"/>
            </w:tcBorders>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3</w:t>
            </w:r>
          </w:p>
        </w:tc>
        <w:tc>
          <w:tcPr>
            <w:tcW w:w="606" w:type="pct"/>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4</w:t>
            </w:r>
          </w:p>
        </w:tc>
        <w:tc>
          <w:tcPr>
            <w:tcW w:w="823" w:type="pct"/>
            <w:tcBorders>
              <w:top w:val="nil"/>
              <w:left w:val="nil"/>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5</w:t>
            </w:r>
          </w:p>
        </w:tc>
        <w:tc>
          <w:tcPr>
            <w:tcW w:w="822" w:type="pct"/>
            <w:tcBorders>
              <w:top w:val="nil"/>
              <w:left w:val="nil"/>
              <w:bottom w:val="single" w:sz="8" w:space="0" w:color="000000"/>
              <w:right w:val="single" w:sz="8" w:space="0" w:color="000000"/>
            </w:tcBorders>
            <w:hideMark/>
          </w:tcPr>
          <w:p w:rsidR="00DF7E80" w:rsidRPr="009522EB" w:rsidRDefault="00DF7E80" w:rsidP="00A229AC">
            <w:pPr>
              <w:spacing w:after="0" w:line="240" w:lineRule="auto"/>
              <w:jc w:val="center"/>
              <w:rPr>
                <w:rFonts w:ascii="Times New Roman" w:eastAsia="Times New Roman" w:hAnsi="Times New Roman" w:cs="Times New Roman"/>
                <w:i/>
                <w:sz w:val="20"/>
                <w:szCs w:val="24"/>
                <w:highlight w:val="white"/>
              </w:rPr>
            </w:pPr>
            <w:r w:rsidRPr="009522EB">
              <w:rPr>
                <w:rFonts w:ascii="Times New Roman" w:eastAsia="Times New Roman" w:hAnsi="Times New Roman" w:cs="Times New Roman"/>
                <w:i/>
                <w:sz w:val="20"/>
                <w:szCs w:val="24"/>
                <w:highlight w:val="white"/>
              </w:rPr>
              <w:t>6</w:t>
            </w:r>
          </w:p>
        </w:tc>
      </w:tr>
      <w:tr w:rsidR="00DF7E80" w:rsidTr="009522EB">
        <w:trPr>
          <w:trHeight w:val="20"/>
        </w:trPr>
        <w:tc>
          <w:tcPr>
            <w:tcW w:w="394" w:type="pct"/>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r w:rsidRPr="009522EB">
              <w:rPr>
                <w:rFonts w:ascii="Times New Roman" w:eastAsia="Times New Roman" w:hAnsi="Times New Roman" w:cs="Times New Roman"/>
                <w:i/>
                <w:color w:val="FF0000"/>
                <w:sz w:val="20"/>
                <w:szCs w:val="24"/>
                <w:highlight w:val="white"/>
              </w:rPr>
              <w:t xml:space="preserve"> </w:t>
            </w:r>
          </w:p>
        </w:tc>
        <w:tc>
          <w:tcPr>
            <w:tcW w:w="1144" w:type="pct"/>
            <w:tcBorders>
              <w:top w:val="nil"/>
              <w:left w:val="nil"/>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r w:rsidRPr="009522EB">
              <w:rPr>
                <w:rFonts w:ascii="Times New Roman" w:eastAsia="Times New Roman" w:hAnsi="Times New Roman" w:cs="Times New Roman"/>
                <w:i/>
                <w:color w:val="FF0000"/>
                <w:sz w:val="20"/>
                <w:szCs w:val="24"/>
                <w:highlight w:val="white"/>
              </w:rPr>
              <w:t xml:space="preserve"> </w:t>
            </w:r>
          </w:p>
        </w:tc>
        <w:tc>
          <w:tcPr>
            <w:tcW w:w="1211" w:type="pct"/>
            <w:tcBorders>
              <w:top w:val="nil"/>
              <w:left w:val="nil"/>
              <w:bottom w:val="single" w:sz="8" w:space="0" w:color="000000"/>
              <w:right w:val="single" w:sz="4" w:space="0" w:color="000000"/>
            </w:tcBorders>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p>
        </w:tc>
        <w:tc>
          <w:tcPr>
            <w:tcW w:w="606" w:type="pct"/>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r w:rsidRPr="009522EB">
              <w:rPr>
                <w:rFonts w:ascii="Times New Roman" w:eastAsia="Times New Roman" w:hAnsi="Times New Roman" w:cs="Times New Roman"/>
                <w:i/>
                <w:color w:val="FF0000"/>
                <w:sz w:val="20"/>
                <w:szCs w:val="24"/>
                <w:highlight w:val="white"/>
              </w:rPr>
              <w:t xml:space="preserve"> </w:t>
            </w:r>
          </w:p>
        </w:tc>
        <w:tc>
          <w:tcPr>
            <w:tcW w:w="823" w:type="pct"/>
            <w:tcBorders>
              <w:top w:val="nil"/>
              <w:left w:val="nil"/>
              <w:bottom w:val="single" w:sz="8" w:space="0" w:color="000000"/>
              <w:right w:val="single" w:sz="8" w:space="0" w:color="000000"/>
            </w:tcBorders>
            <w:tcMar>
              <w:top w:w="100" w:type="dxa"/>
              <w:left w:w="100" w:type="dxa"/>
              <w:bottom w:w="100" w:type="dxa"/>
              <w:right w:w="100" w:type="dxa"/>
            </w:tcMar>
            <w:hideMark/>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r w:rsidRPr="009522EB">
              <w:rPr>
                <w:rFonts w:ascii="Times New Roman" w:eastAsia="Times New Roman" w:hAnsi="Times New Roman" w:cs="Times New Roman"/>
                <w:i/>
                <w:color w:val="FF0000"/>
                <w:sz w:val="20"/>
                <w:szCs w:val="24"/>
                <w:highlight w:val="white"/>
              </w:rPr>
              <w:t xml:space="preserve"> </w:t>
            </w:r>
          </w:p>
        </w:tc>
        <w:tc>
          <w:tcPr>
            <w:tcW w:w="822" w:type="pct"/>
            <w:tcBorders>
              <w:top w:val="nil"/>
              <w:left w:val="nil"/>
              <w:bottom w:val="single" w:sz="8" w:space="0" w:color="000000"/>
              <w:right w:val="single" w:sz="8" w:space="0" w:color="000000"/>
            </w:tcBorders>
          </w:tcPr>
          <w:p w:rsidR="00DF7E80" w:rsidRPr="009522EB" w:rsidRDefault="00DF7E80" w:rsidP="00A229AC">
            <w:pPr>
              <w:spacing w:after="0" w:line="240" w:lineRule="auto"/>
              <w:jc w:val="both"/>
              <w:rPr>
                <w:rFonts w:ascii="Times New Roman" w:eastAsia="Times New Roman" w:hAnsi="Times New Roman" w:cs="Times New Roman"/>
                <w:i/>
                <w:color w:val="FF0000"/>
                <w:sz w:val="20"/>
                <w:szCs w:val="24"/>
                <w:highlight w:val="white"/>
              </w:rPr>
            </w:pPr>
          </w:p>
        </w:tc>
      </w:tr>
    </w:tbl>
    <w:p w:rsidR="00DF7E80" w:rsidRDefault="00DF7E80" w:rsidP="00A229AC">
      <w:pPr>
        <w:pStyle w:val="af7"/>
        <w:shd w:val="clear" w:color="auto" w:fill="FFFFFF"/>
        <w:spacing w:after="0" w:line="240" w:lineRule="auto"/>
        <w:ind w:left="820"/>
        <w:jc w:val="both"/>
        <w:rPr>
          <w:rFonts w:ascii="Times New Roman" w:eastAsia="Times New Roman" w:hAnsi="Times New Roman" w:cs="Times New Roman"/>
          <w:b/>
          <w:i/>
          <w:sz w:val="24"/>
          <w:szCs w:val="24"/>
          <w:vertAlign w:val="superscript"/>
        </w:rPr>
      </w:pPr>
    </w:p>
    <w:p w:rsidR="007715AB" w:rsidRPr="009522EB" w:rsidRDefault="007715AB" w:rsidP="00A229AC">
      <w:pPr>
        <w:pStyle w:val="af7"/>
        <w:numPr>
          <w:ilvl w:val="0"/>
          <w:numId w:val="6"/>
        </w:numPr>
        <w:tabs>
          <w:tab w:val="left" w:pos="284"/>
          <w:tab w:val="left" w:pos="851"/>
          <w:tab w:val="left" w:pos="1560"/>
        </w:tabs>
        <w:spacing w:after="0" w:line="240" w:lineRule="auto"/>
        <w:ind w:left="0" w:firstLine="567"/>
        <w:jc w:val="both"/>
        <w:rPr>
          <w:rFonts w:ascii="Times New Roman" w:hAnsi="Times New Roman" w:cs="Times New Roman"/>
          <w:sz w:val="24"/>
          <w:szCs w:val="24"/>
        </w:rPr>
      </w:pPr>
      <w:r w:rsidRPr="009522EB">
        <w:rPr>
          <w:rFonts w:ascii="Times New Roman" w:hAnsi="Times New Roman" w:cs="Times New Roman"/>
          <w:sz w:val="24"/>
          <w:szCs w:val="24"/>
        </w:rPr>
        <w:t xml:space="preserve">Учасник має забезпечити за вимогою Замовника проведення лабораторних досліджень </w:t>
      </w:r>
      <w:proofErr w:type="spellStart"/>
      <w:r w:rsidRPr="009522EB">
        <w:rPr>
          <w:rFonts w:ascii="Times New Roman" w:hAnsi="Times New Roman" w:cs="Times New Roman"/>
          <w:sz w:val="24"/>
          <w:szCs w:val="24"/>
        </w:rPr>
        <w:t>запропованого</w:t>
      </w:r>
      <w:proofErr w:type="spellEnd"/>
      <w:r w:rsidRPr="009522EB">
        <w:rPr>
          <w:rFonts w:ascii="Times New Roman" w:hAnsi="Times New Roman" w:cs="Times New Roman"/>
          <w:sz w:val="24"/>
          <w:szCs w:val="24"/>
        </w:rPr>
        <w:t xml:space="preserve"> товару та надання відповідних експертних висновків або протоколів випробування, тому на запропонований (аналогічний) товар, партія якого була поставлена Учасником раніше надаються: протокол випробування або експертний висновок, що виданий не раніше </w:t>
      </w:r>
      <w:r w:rsidR="007A3548" w:rsidRPr="009522EB">
        <w:rPr>
          <w:rFonts w:ascii="Times New Roman" w:hAnsi="Times New Roman" w:cs="Times New Roman"/>
          <w:sz w:val="24"/>
          <w:szCs w:val="24"/>
        </w:rPr>
        <w:t xml:space="preserve">листопада 2022 року про відповідність запропонованого товару за мікробіологічними показниками (БГКП, МАФАМ, патогенні мікроорганізми в т.ч. сальмонели, </w:t>
      </w:r>
      <w:proofErr w:type="spellStart"/>
      <w:r w:rsidR="007A3548" w:rsidRPr="009522EB">
        <w:rPr>
          <w:rFonts w:ascii="Times New Roman" w:hAnsi="Times New Roman" w:cs="Times New Roman"/>
          <w:sz w:val="24"/>
          <w:szCs w:val="24"/>
        </w:rPr>
        <w:t>плісневі</w:t>
      </w:r>
      <w:proofErr w:type="spellEnd"/>
      <w:r w:rsidR="007A3548" w:rsidRPr="009522EB">
        <w:rPr>
          <w:rFonts w:ascii="Times New Roman" w:hAnsi="Times New Roman" w:cs="Times New Roman"/>
          <w:sz w:val="24"/>
          <w:szCs w:val="24"/>
        </w:rPr>
        <w:t xml:space="preserve"> гриби та дріжджі, </w:t>
      </w:r>
      <w:proofErr w:type="spellStart"/>
      <w:r w:rsidR="00BC7629" w:rsidRPr="009522EB">
        <w:rPr>
          <w:rFonts w:ascii="Times New Roman" w:hAnsi="Times New Roman" w:cs="Times New Roman"/>
          <w:sz w:val="24"/>
          <w:szCs w:val="24"/>
        </w:rPr>
        <w:t>коагулазопозитивний</w:t>
      </w:r>
      <w:proofErr w:type="spellEnd"/>
      <w:r w:rsidR="00BC7629" w:rsidRPr="009522EB">
        <w:rPr>
          <w:rFonts w:ascii="Times New Roman" w:hAnsi="Times New Roman" w:cs="Times New Roman"/>
          <w:sz w:val="24"/>
          <w:szCs w:val="24"/>
        </w:rPr>
        <w:t xml:space="preserve"> стафілокок)</w:t>
      </w:r>
      <w:r w:rsidR="007A3548" w:rsidRPr="009522EB">
        <w:rPr>
          <w:rFonts w:ascii="Times New Roman" w:hAnsi="Times New Roman" w:cs="Times New Roman"/>
          <w:sz w:val="24"/>
          <w:szCs w:val="24"/>
        </w:rPr>
        <w:t xml:space="preserve"> згідно ДСТУ 4399:2005. </w:t>
      </w:r>
      <w:r w:rsidR="009F6890" w:rsidRPr="009522EB">
        <w:rPr>
          <w:rFonts w:ascii="Times New Roman" w:hAnsi="Times New Roman" w:cs="Times New Roman"/>
          <w:i/>
          <w:sz w:val="24"/>
          <w:szCs w:val="24"/>
        </w:rPr>
        <w:t>У випадку якщо експертний висновок або протокол випробування виданий не на учасника процедури закупівлі надати лист-підтвердження від власника/ заявника експертного висновку або протоколу випробування із дозволом використання наданого документу у вказаній процедурі закупівлі.</w:t>
      </w:r>
    </w:p>
    <w:p w:rsidR="00D54B63" w:rsidRPr="009522EB" w:rsidRDefault="00D54B63" w:rsidP="00A229AC">
      <w:pPr>
        <w:pStyle w:val="af5"/>
        <w:numPr>
          <w:ilvl w:val="0"/>
          <w:numId w:val="6"/>
        </w:numPr>
        <w:tabs>
          <w:tab w:val="left" w:pos="851"/>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lastRenderedPageBreak/>
        <w:t xml:space="preserve">Акт перевірки суб’єкта господарювання (учасника), який </w:t>
      </w:r>
      <w:r w:rsidR="00AB612A">
        <w:rPr>
          <w:rFonts w:ascii="Times New Roman" w:hAnsi="Times New Roman" w:cs="Times New Roman"/>
          <w:sz w:val="24"/>
          <w:szCs w:val="24"/>
          <w:lang w:val="uk-UA"/>
        </w:rPr>
        <w:t>здійснюватиме постачання товару</w:t>
      </w:r>
      <w:r w:rsidRPr="009522EB">
        <w:rPr>
          <w:rFonts w:ascii="Times New Roman" w:hAnsi="Times New Roman" w:cs="Times New Roman"/>
          <w:sz w:val="24"/>
          <w:szCs w:val="24"/>
          <w:lang w:val="uk-UA"/>
        </w:rPr>
        <w:t>,</w:t>
      </w:r>
      <w:r w:rsidR="00AB612A">
        <w:rPr>
          <w:rFonts w:ascii="Times New Roman" w:hAnsi="Times New Roman" w:cs="Times New Roman"/>
          <w:sz w:val="24"/>
          <w:szCs w:val="24"/>
          <w:lang w:val="uk-UA"/>
        </w:rPr>
        <w:t xml:space="preserve"> </w:t>
      </w:r>
      <w:r w:rsidRPr="009522EB">
        <w:rPr>
          <w:rFonts w:ascii="Times New Roman" w:hAnsi="Times New Roman" w:cs="Times New Roman"/>
          <w:sz w:val="24"/>
          <w:szCs w:val="24"/>
          <w:lang w:val="uk-UA"/>
        </w:rPr>
        <w:t>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виданий датою не раніше 4 кварталу 2022 року.</w:t>
      </w:r>
    </w:p>
    <w:p w:rsidR="00D54B63" w:rsidRPr="009522EB" w:rsidRDefault="00D54B63" w:rsidP="00A229AC">
      <w:pPr>
        <w:pStyle w:val="af5"/>
        <w:numPr>
          <w:ilvl w:val="0"/>
          <w:numId w:val="6"/>
        </w:numPr>
        <w:tabs>
          <w:tab w:val="left" w:pos="851"/>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Позитивний Акт перевірки суб’єкта господарювання (учасника), який здійснюватиме постачання товару, складений за результатами проведення заходу державного контролю у формі аудиту постійно діючих процедур, заснованих на принципах HACCP, виданий датою не раніше 4 кварталу 2022 року.</w:t>
      </w:r>
    </w:p>
    <w:p w:rsidR="00C060C2" w:rsidRPr="009522EB" w:rsidRDefault="00C060C2" w:rsidP="00A229AC">
      <w:pPr>
        <w:pStyle w:val="af5"/>
        <w:numPr>
          <w:ilvl w:val="0"/>
          <w:numId w:val="6"/>
        </w:numPr>
        <w:tabs>
          <w:tab w:val="left" w:pos="851"/>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Експлуатаційний дозвіл виданий на ім’я  Учасника, на потужності (об’єкт), які використовуються (використовуватимуться) для обігу предмету закупівлі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та/або рішення про державну реєстрацію потужностей для потужностей на які не передбачено отримання експлуатаційного дозволу (надається у разі закупівлі товару, що має тваринне походження).</w:t>
      </w:r>
    </w:p>
    <w:p w:rsidR="00C060C2" w:rsidRPr="009522EB" w:rsidRDefault="00C060C2" w:rsidP="00A229AC">
      <w:pPr>
        <w:pStyle w:val="af5"/>
        <w:numPr>
          <w:ilvl w:val="0"/>
          <w:numId w:val="6"/>
        </w:numPr>
        <w:tabs>
          <w:tab w:val="left" w:pos="851"/>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Рішення про державну реєстрацію потужностей (надається у разі закупівлі товару</w:t>
      </w:r>
      <w:r w:rsidR="004755C6" w:rsidRPr="009522EB">
        <w:rPr>
          <w:rFonts w:ascii="Times New Roman" w:hAnsi="Times New Roman" w:cs="Times New Roman"/>
          <w:sz w:val="24"/>
          <w:szCs w:val="24"/>
          <w:lang w:val="uk-UA"/>
        </w:rPr>
        <w:t>, що має рослинне</w:t>
      </w:r>
      <w:r w:rsidRPr="009522EB">
        <w:rPr>
          <w:rFonts w:ascii="Times New Roman" w:hAnsi="Times New Roman" w:cs="Times New Roman"/>
          <w:sz w:val="24"/>
          <w:szCs w:val="24"/>
          <w:lang w:val="uk-UA"/>
        </w:rPr>
        <w:t xml:space="preserve"> походження).</w:t>
      </w:r>
    </w:p>
    <w:p w:rsidR="00D54B63" w:rsidRPr="009522EB" w:rsidRDefault="00D54B63" w:rsidP="00A229AC">
      <w:pPr>
        <w:pStyle w:val="af5"/>
        <w:numPr>
          <w:ilvl w:val="0"/>
          <w:numId w:val="6"/>
        </w:numPr>
        <w:tabs>
          <w:tab w:val="left" w:pos="851"/>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які підтверджують те, що Учасник (а у разі, якщо до перевезення предмету закупівлі залучається інша особа), особа яка фактично використовує (використовуватиме) спеціалізований автотранспорт для обігу предмету закупівлі  запровадив(</w:t>
      </w:r>
      <w:proofErr w:type="spellStart"/>
      <w:r w:rsidRPr="009522EB">
        <w:rPr>
          <w:rFonts w:ascii="Times New Roman" w:hAnsi="Times New Roman" w:cs="Times New Roman"/>
          <w:sz w:val="24"/>
          <w:szCs w:val="24"/>
          <w:lang w:val="uk-UA"/>
        </w:rPr>
        <w:t>ли</w:t>
      </w:r>
      <w:proofErr w:type="spellEnd"/>
      <w:r w:rsidRPr="009522EB">
        <w:rPr>
          <w:rFonts w:ascii="Times New Roman" w:hAnsi="Times New Roman" w:cs="Times New Roman"/>
          <w:sz w:val="24"/>
          <w:szCs w:val="24"/>
          <w:lang w:val="uk-UA"/>
        </w:rPr>
        <w:t>) обов’язкові постійно діючі процедури, засновані на принципах Системи управління безпечністю харчових продуктів (НАССР), а саме:</w:t>
      </w:r>
    </w:p>
    <w:p w:rsidR="00D54B63" w:rsidRPr="009522EB" w:rsidRDefault="00D54B63" w:rsidP="00A229AC">
      <w:pPr>
        <w:pStyle w:val="af5"/>
        <w:tabs>
          <w:tab w:val="left" w:pos="851"/>
        </w:tabs>
        <w:ind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 сертифікат, відповідно, учасника та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9522EB">
        <w:rPr>
          <w:rFonts w:ascii="Times New Roman" w:hAnsi="Times New Roman" w:cs="Times New Roman"/>
          <w:sz w:val="24"/>
          <w:szCs w:val="24"/>
          <w:lang w:val="uk-UA"/>
        </w:rPr>
        <w:t>Food</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Safety</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Management</w:t>
      </w:r>
      <w:proofErr w:type="spellEnd"/>
      <w:r w:rsidRPr="009522EB">
        <w:rPr>
          <w:rFonts w:ascii="Times New Roman" w:hAnsi="Times New Roman" w:cs="Times New Roman"/>
          <w:sz w:val="24"/>
          <w:szCs w:val="24"/>
          <w:lang w:val="uk-UA"/>
        </w:rPr>
        <w:t xml:space="preserve"> Systems-Requirements </w:t>
      </w:r>
      <w:proofErr w:type="spellStart"/>
      <w:r w:rsidRPr="009522EB">
        <w:rPr>
          <w:rFonts w:ascii="Times New Roman" w:hAnsi="Times New Roman" w:cs="Times New Roman"/>
          <w:sz w:val="24"/>
          <w:szCs w:val="24"/>
          <w:lang w:val="uk-UA"/>
        </w:rPr>
        <w:t>for</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any</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organization</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in</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the</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food</w:t>
      </w:r>
      <w:proofErr w:type="spellEnd"/>
      <w:r w:rsidRPr="009522EB">
        <w:rPr>
          <w:rFonts w:ascii="Times New Roman" w:hAnsi="Times New Roman" w:cs="Times New Roman"/>
          <w:sz w:val="24"/>
          <w:szCs w:val="24"/>
          <w:lang w:val="uk-UA"/>
        </w:rPr>
        <w:t xml:space="preserve"> </w:t>
      </w:r>
      <w:proofErr w:type="spellStart"/>
      <w:r w:rsidRPr="009522EB">
        <w:rPr>
          <w:rFonts w:ascii="Times New Roman" w:hAnsi="Times New Roman" w:cs="Times New Roman"/>
          <w:sz w:val="24"/>
          <w:szCs w:val="24"/>
          <w:lang w:val="uk-UA"/>
        </w:rPr>
        <w:t>chain</w:t>
      </w:r>
      <w:proofErr w:type="spellEnd"/>
      <w:r w:rsidRPr="009522EB">
        <w:rPr>
          <w:rFonts w:ascii="Times New Roman" w:hAnsi="Times New Roman" w:cs="Times New Roman"/>
          <w:sz w:val="24"/>
          <w:szCs w:val="24"/>
          <w:lang w:val="uk-UA"/>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w:t>
      </w:r>
      <w:r w:rsidR="00730349" w:rsidRPr="009522EB">
        <w:rPr>
          <w:rFonts w:ascii="Times New Roman" w:hAnsi="Times New Roman" w:cs="Times New Roman"/>
          <w:sz w:val="24"/>
          <w:szCs w:val="24"/>
          <w:lang w:val="uk-UA"/>
        </w:rPr>
        <w:t>стю харчових продуктів. Вимоги” (у разі якщо Учасник виробник: виробництво, зберігання, торгівля транспортування; у разі якщо Учасник не виробник: зберігання, торгівля, транспортування; якщо залучається Перевізник – транспортування).</w:t>
      </w:r>
    </w:p>
    <w:p w:rsidR="00D54B63" w:rsidRPr="009522EB" w:rsidRDefault="00D54B63" w:rsidP="00A229AC">
      <w:pPr>
        <w:pStyle w:val="af5"/>
        <w:tabs>
          <w:tab w:val="left" w:pos="851"/>
        </w:tabs>
        <w:ind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 xml:space="preserve">За відсутності вищезазначеного(-них) сертифікатів, учасник надає наступні документи для підтвердження, відповідно, учасником та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rsidR="00AB612A" w:rsidRDefault="00D54B63"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sidRPr="009522EB">
        <w:rPr>
          <w:rFonts w:ascii="Times New Roman" w:hAnsi="Times New Roman" w:cs="Times New Roman"/>
          <w:sz w:val="24"/>
          <w:szCs w:val="24"/>
          <w:lang w:val="uk-UA"/>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rsidR="00AB612A" w:rsidRDefault="00D54B63"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sidRPr="00AB612A">
        <w:rPr>
          <w:rFonts w:ascii="Times New Roman" w:hAnsi="Times New Roman" w:cs="Times New Roman"/>
          <w:sz w:val="24"/>
          <w:szCs w:val="24"/>
          <w:lang w:val="uk-UA"/>
        </w:rPr>
        <w:t>політику щодо безпечності харчових продуктів;</w:t>
      </w:r>
    </w:p>
    <w:p w:rsidR="00AB612A" w:rsidRDefault="00D54B63"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sidRPr="00AB612A">
        <w:rPr>
          <w:rFonts w:ascii="Times New Roman" w:hAnsi="Times New Roman" w:cs="Times New Roman"/>
          <w:sz w:val="24"/>
          <w:szCs w:val="24"/>
          <w:lang w:val="uk-UA"/>
        </w:rPr>
        <w:t>план(и) НАССР, що передбачені ДСТУ ISO 22000:2019 (ISO 22000:2018, IDT) або ДСТУ 4161-2003;</w:t>
      </w:r>
    </w:p>
    <w:p w:rsidR="00AB612A" w:rsidRDefault="00D54B63"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sidRPr="00AB612A">
        <w:rPr>
          <w:rFonts w:ascii="Times New Roman" w:hAnsi="Times New Roman" w:cs="Times New Roman"/>
          <w:sz w:val="24"/>
          <w:szCs w:val="24"/>
          <w:lang w:val="uk-UA"/>
        </w:rPr>
        <w:t>програми-передумови, що передбачені ДСТУ ISO 22000:2019 (ISO 22000:2018, IDT) або ДСТУ 4161-2003;</w:t>
      </w:r>
    </w:p>
    <w:p w:rsidR="00AB612A" w:rsidRDefault="00D54B63"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sidRPr="00AB612A">
        <w:rPr>
          <w:rFonts w:ascii="Times New Roman" w:hAnsi="Times New Roman" w:cs="Times New Roman"/>
          <w:sz w:val="24"/>
          <w:szCs w:val="24"/>
          <w:lang w:val="uk-UA"/>
        </w:rPr>
        <w:t>звіти про результати внутрішніх аудитів;</w:t>
      </w:r>
    </w:p>
    <w:p w:rsidR="00D54B63" w:rsidRPr="00AB612A" w:rsidRDefault="00AB612A" w:rsidP="00A229AC">
      <w:pPr>
        <w:pStyle w:val="af5"/>
        <w:numPr>
          <w:ilvl w:val="0"/>
          <w:numId w:val="8"/>
        </w:numPr>
        <w:tabs>
          <w:tab w:val="left" w:pos="851"/>
          <w:tab w:val="left" w:pos="993"/>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журнали, що передбачені</w:t>
      </w:r>
      <w:r w:rsidR="00D54B63" w:rsidRPr="00AB612A">
        <w:rPr>
          <w:rFonts w:ascii="Times New Roman" w:hAnsi="Times New Roman" w:cs="Times New Roman"/>
          <w:sz w:val="24"/>
          <w:szCs w:val="24"/>
          <w:lang w:val="uk-UA"/>
        </w:rPr>
        <w:t xml:space="preserve"> ДСТУ ISO 22000</w:t>
      </w:r>
      <w:r>
        <w:rPr>
          <w:rFonts w:ascii="Times New Roman" w:hAnsi="Times New Roman" w:cs="Times New Roman"/>
          <w:sz w:val="24"/>
          <w:szCs w:val="24"/>
          <w:lang w:val="uk-UA"/>
        </w:rPr>
        <w:t>:2019 (ISO 22000:2018, IDT) або</w:t>
      </w:r>
      <w:r w:rsidR="00D54B63" w:rsidRPr="00AB612A">
        <w:rPr>
          <w:rFonts w:ascii="Times New Roman" w:hAnsi="Times New Roman" w:cs="Times New Roman"/>
          <w:sz w:val="24"/>
          <w:szCs w:val="24"/>
          <w:lang w:val="uk-UA"/>
        </w:rPr>
        <w:t xml:space="preserve"> ДСТУ 4161-2003.</w:t>
      </w:r>
    </w:p>
    <w:p w:rsidR="00A229AC" w:rsidRPr="00A229AC" w:rsidRDefault="00A229AC" w:rsidP="00A229AC">
      <w:pPr>
        <w:pStyle w:val="af7"/>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4"/>
        </w:rPr>
      </w:pPr>
      <w:r w:rsidRPr="00A229AC">
        <w:rPr>
          <w:rFonts w:ascii="Times New Roman" w:hAnsi="Times New Roman" w:cs="Times New Roman"/>
          <w:sz w:val="24"/>
        </w:rPr>
        <w:t xml:space="preserve">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w:t>
      </w:r>
      <w:r w:rsidRPr="00A229AC">
        <w:rPr>
          <w:rFonts w:ascii="Times New Roman" w:hAnsi="Times New Roman" w:cs="Times New Roman"/>
          <w:sz w:val="24"/>
        </w:rPr>
        <w:lastRenderedPageBreak/>
        <w:t>продуктів згідно із Законом України № 771/97 «Про основні принципи та вимоги до безпечності та якості харчових продуктів».</w:t>
      </w:r>
    </w:p>
    <w:p w:rsidR="00A229AC" w:rsidRPr="00A229AC" w:rsidRDefault="00A229AC" w:rsidP="00A229AC">
      <w:pPr>
        <w:pStyle w:val="af7"/>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4"/>
        </w:rPr>
      </w:pPr>
      <w:r w:rsidRPr="00A229AC">
        <w:rPr>
          <w:rFonts w:ascii="Times New Roman" w:hAnsi="Times New Roman" w:cs="Times New Roman"/>
          <w:sz w:val="24"/>
        </w:rPr>
        <w:t xml:space="preserve">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w:t>
      </w:r>
      <w:r w:rsidRPr="00A229AC">
        <w:rPr>
          <w:rFonts w:ascii="Times New Roman" w:hAnsi="Times New Roman" w:cs="Times New Roman"/>
          <w:b/>
          <w:bCs/>
          <w:sz w:val="24"/>
        </w:rPr>
        <w:t>(Копія титульного листа процедури)</w:t>
      </w:r>
      <w:r w:rsidRPr="00A229AC">
        <w:rPr>
          <w:rFonts w:ascii="Times New Roman" w:hAnsi="Times New Roman" w:cs="Times New Roman"/>
          <w:sz w:val="24"/>
        </w:rPr>
        <w:t xml:space="preserve">,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w:t>
      </w:r>
    </w:p>
    <w:p w:rsidR="00A229AC" w:rsidRPr="00A229AC" w:rsidRDefault="00A229AC" w:rsidP="00A229AC">
      <w:pPr>
        <w:pStyle w:val="af7"/>
        <w:numPr>
          <w:ilvl w:val="0"/>
          <w:numId w:val="6"/>
        </w:numPr>
        <w:tabs>
          <w:tab w:val="left" w:pos="709"/>
          <w:tab w:val="left" w:pos="851"/>
          <w:tab w:val="left" w:pos="993"/>
        </w:tabs>
        <w:spacing w:after="0" w:line="240" w:lineRule="auto"/>
        <w:ind w:left="0" w:firstLine="567"/>
        <w:jc w:val="both"/>
        <w:rPr>
          <w:rFonts w:ascii="Times New Roman" w:hAnsi="Times New Roman" w:cs="Times New Roman"/>
          <w:sz w:val="24"/>
        </w:rPr>
      </w:pPr>
      <w:r w:rsidRPr="00A229AC">
        <w:rPr>
          <w:rFonts w:ascii="Times New Roman" w:hAnsi="Times New Roman" w:cs="Times New Roman"/>
          <w:sz w:val="24"/>
        </w:rPr>
        <w:t>Сертифікати (</w:t>
      </w:r>
      <w:r w:rsidRPr="00A229AC">
        <w:rPr>
          <w:rFonts w:ascii="Times New Roman" w:hAnsi="Times New Roman" w:cs="Times New Roman"/>
          <w:b/>
          <w:bCs/>
          <w:sz w:val="24"/>
        </w:rPr>
        <w:t>Оригінали або Копії</w:t>
      </w:r>
      <w:r w:rsidRPr="00A229AC">
        <w:rPr>
          <w:rFonts w:ascii="Times New Roman" w:hAnsi="Times New Roman" w:cs="Times New Roman"/>
          <w:sz w:val="24"/>
        </w:rPr>
        <w:t xml:space="preserve">) на систему управління безпечністю харчових продуктів, СУЯ, СУЕК, виданих органом із сертифікації акредитованим Національним </w:t>
      </w:r>
      <w:proofErr w:type="spellStart"/>
      <w:r w:rsidRPr="00A229AC">
        <w:rPr>
          <w:rFonts w:ascii="Times New Roman" w:hAnsi="Times New Roman" w:cs="Times New Roman"/>
          <w:sz w:val="24"/>
        </w:rPr>
        <w:t>агенством</w:t>
      </w:r>
      <w:proofErr w:type="spellEnd"/>
      <w:r w:rsidRPr="00A229AC">
        <w:rPr>
          <w:rFonts w:ascii="Times New Roman" w:hAnsi="Times New Roman" w:cs="Times New Roman"/>
          <w:sz w:val="24"/>
        </w:rPr>
        <w:t xml:space="preserve"> з акредитації України, на ім’я Учасника. </w:t>
      </w:r>
    </w:p>
    <w:p w:rsidR="00D54B63" w:rsidRPr="009522EB" w:rsidRDefault="00D54B63" w:rsidP="00A229AC">
      <w:pPr>
        <w:tabs>
          <w:tab w:val="left" w:pos="851"/>
        </w:tabs>
        <w:spacing w:after="0" w:line="240" w:lineRule="auto"/>
        <w:ind w:firstLine="567"/>
        <w:jc w:val="both"/>
        <w:rPr>
          <w:rFonts w:ascii="Times New Roman" w:eastAsia="Times New Roman" w:hAnsi="Times New Roman" w:cs="Times New Roman"/>
          <w:sz w:val="24"/>
          <w:szCs w:val="24"/>
        </w:rPr>
      </w:pPr>
    </w:p>
    <w:sectPr w:rsidR="00D54B63" w:rsidRPr="009522EB" w:rsidSect="00DA15F8">
      <w:pgSz w:w="11906" w:h="16838"/>
      <w:pgMar w:top="425" w:right="851" w:bottom="851"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979"/>
    <w:multiLevelType w:val="hybridMultilevel"/>
    <w:tmpl w:val="A4724984"/>
    <w:lvl w:ilvl="0" w:tplc="C26E969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3A05E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D13D6"/>
    <w:multiLevelType w:val="multilevel"/>
    <w:tmpl w:val="4844B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824280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71F64"/>
    <w:multiLevelType w:val="hybridMultilevel"/>
    <w:tmpl w:val="D716F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20805"/>
    <w:multiLevelType w:val="hybridMultilevel"/>
    <w:tmpl w:val="6E0E69EA"/>
    <w:lvl w:ilvl="0" w:tplc="04190011">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3FE85B8F"/>
    <w:multiLevelType w:val="hybridMultilevel"/>
    <w:tmpl w:val="5C3E45D4"/>
    <w:lvl w:ilvl="0" w:tplc="F68A9E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AB340A"/>
    <w:rsid w:val="0013720F"/>
    <w:rsid w:val="0018773A"/>
    <w:rsid w:val="001C5AA1"/>
    <w:rsid w:val="00305236"/>
    <w:rsid w:val="003103B1"/>
    <w:rsid w:val="003700F4"/>
    <w:rsid w:val="004755C6"/>
    <w:rsid w:val="0060014B"/>
    <w:rsid w:val="006031E1"/>
    <w:rsid w:val="00730349"/>
    <w:rsid w:val="00746214"/>
    <w:rsid w:val="0075516E"/>
    <w:rsid w:val="007715AB"/>
    <w:rsid w:val="007A3548"/>
    <w:rsid w:val="009522EB"/>
    <w:rsid w:val="009778FE"/>
    <w:rsid w:val="009C0F49"/>
    <w:rsid w:val="009F6890"/>
    <w:rsid w:val="00A229AC"/>
    <w:rsid w:val="00A45471"/>
    <w:rsid w:val="00A746FE"/>
    <w:rsid w:val="00A837E1"/>
    <w:rsid w:val="00AA1D80"/>
    <w:rsid w:val="00AB340A"/>
    <w:rsid w:val="00AB612A"/>
    <w:rsid w:val="00AB6757"/>
    <w:rsid w:val="00B14DD6"/>
    <w:rsid w:val="00BC7629"/>
    <w:rsid w:val="00C034F1"/>
    <w:rsid w:val="00C060C2"/>
    <w:rsid w:val="00CA60A5"/>
    <w:rsid w:val="00CB004A"/>
    <w:rsid w:val="00D54B63"/>
    <w:rsid w:val="00D73F0E"/>
    <w:rsid w:val="00DA0533"/>
    <w:rsid w:val="00DA15F8"/>
    <w:rsid w:val="00DF7E80"/>
    <w:rsid w:val="00E2631B"/>
    <w:rsid w:val="00E77173"/>
    <w:rsid w:val="00F33365"/>
    <w:rsid w:val="00FC66E0"/>
    <w:rsid w:val="00FE16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A837E1"/>
    <w:pPr>
      <w:keepNext/>
      <w:keepLines/>
      <w:spacing w:before="480" w:after="120"/>
      <w:outlineLvl w:val="0"/>
    </w:pPr>
    <w:rPr>
      <w:b/>
      <w:sz w:val="48"/>
      <w:szCs w:val="48"/>
    </w:rPr>
  </w:style>
  <w:style w:type="paragraph" w:styleId="2">
    <w:name w:val="heading 2"/>
    <w:basedOn w:val="a"/>
    <w:next w:val="a"/>
    <w:uiPriority w:val="9"/>
    <w:semiHidden/>
    <w:unhideWhenUsed/>
    <w:qFormat/>
    <w:rsid w:val="00A837E1"/>
    <w:pPr>
      <w:keepNext/>
      <w:keepLines/>
      <w:spacing w:before="360" w:after="80"/>
      <w:outlineLvl w:val="1"/>
    </w:pPr>
    <w:rPr>
      <w:b/>
      <w:sz w:val="36"/>
      <w:szCs w:val="36"/>
    </w:rPr>
  </w:style>
  <w:style w:type="paragraph" w:styleId="3">
    <w:name w:val="heading 3"/>
    <w:basedOn w:val="a"/>
    <w:next w:val="a"/>
    <w:uiPriority w:val="9"/>
    <w:semiHidden/>
    <w:unhideWhenUsed/>
    <w:qFormat/>
    <w:rsid w:val="00A837E1"/>
    <w:pPr>
      <w:keepNext/>
      <w:keepLines/>
      <w:spacing w:before="280" w:after="80"/>
      <w:outlineLvl w:val="2"/>
    </w:pPr>
    <w:rPr>
      <w:b/>
      <w:sz w:val="28"/>
      <w:szCs w:val="28"/>
    </w:rPr>
  </w:style>
  <w:style w:type="paragraph" w:styleId="4">
    <w:name w:val="heading 4"/>
    <w:basedOn w:val="a"/>
    <w:next w:val="a"/>
    <w:uiPriority w:val="9"/>
    <w:semiHidden/>
    <w:unhideWhenUsed/>
    <w:qFormat/>
    <w:rsid w:val="00A837E1"/>
    <w:pPr>
      <w:keepNext/>
      <w:keepLines/>
      <w:spacing w:before="240" w:after="40"/>
      <w:outlineLvl w:val="3"/>
    </w:pPr>
    <w:rPr>
      <w:b/>
      <w:sz w:val="24"/>
      <w:szCs w:val="24"/>
    </w:rPr>
  </w:style>
  <w:style w:type="paragraph" w:styleId="5">
    <w:name w:val="heading 5"/>
    <w:basedOn w:val="a"/>
    <w:next w:val="a"/>
    <w:uiPriority w:val="9"/>
    <w:semiHidden/>
    <w:unhideWhenUsed/>
    <w:qFormat/>
    <w:rsid w:val="00A837E1"/>
    <w:pPr>
      <w:keepNext/>
      <w:keepLines/>
      <w:spacing w:before="220" w:after="40"/>
      <w:outlineLvl w:val="4"/>
    </w:pPr>
    <w:rPr>
      <w:b/>
    </w:rPr>
  </w:style>
  <w:style w:type="paragraph" w:styleId="6">
    <w:name w:val="heading 6"/>
    <w:basedOn w:val="a"/>
    <w:next w:val="a"/>
    <w:uiPriority w:val="9"/>
    <w:semiHidden/>
    <w:unhideWhenUsed/>
    <w:qFormat/>
    <w:rsid w:val="00A837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837E1"/>
    <w:tblPr>
      <w:tblCellMar>
        <w:top w:w="0" w:type="dxa"/>
        <w:left w:w="0" w:type="dxa"/>
        <w:bottom w:w="0" w:type="dxa"/>
        <w:right w:w="0" w:type="dxa"/>
      </w:tblCellMar>
    </w:tblPr>
  </w:style>
  <w:style w:type="paragraph" w:styleId="a3">
    <w:name w:val="Title"/>
    <w:basedOn w:val="a"/>
    <w:next w:val="a"/>
    <w:uiPriority w:val="10"/>
    <w:qFormat/>
    <w:rsid w:val="00A837E1"/>
    <w:pPr>
      <w:keepNext/>
      <w:keepLines/>
      <w:spacing w:before="480" w:after="120"/>
    </w:pPr>
    <w:rPr>
      <w:b/>
      <w:sz w:val="72"/>
      <w:szCs w:val="72"/>
    </w:rPr>
  </w:style>
  <w:style w:type="table" w:customStyle="1" w:styleId="TableNormal0">
    <w:name w:val="Table Normal"/>
    <w:rsid w:val="00A837E1"/>
    <w:tblPr>
      <w:tblCellMar>
        <w:top w:w="0" w:type="dxa"/>
        <w:left w:w="0" w:type="dxa"/>
        <w:bottom w:w="0" w:type="dxa"/>
        <w:right w:w="0" w:type="dxa"/>
      </w:tblCellMar>
    </w:tblPr>
  </w:style>
  <w:style w:type="table" w:customStyle="1" w:styleId="TableNormal1">
    <w:name w:val="Table Normal"/>
    <w:rsid w:val="00A837E1"/>
    <w:tblPr>
      <w:tblCellMar>
        <w:top w:w="0" w:type="dxa"/>
        <w:left w:w="0" w:type="dxa"/>
        <w:bottom w:w="0" w:type="dxa"/>
        <w:right w:w="0" w:type="dxa"/>
      </w:tblCellMar>
    </w:tblPr>
  </w:style>
  <w:style w:type="paragraph" w:styleId="a4">
    <w:name w:val="Subtitle"/>
    <w:basedOn w:val="a"/>
    <w:next w:val="a"/>
    <w:rsid w:val="00A837E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A837E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A837E1"/>
    <w:tblPr>
      <w:tblStyleRowBandSize w:val="1"/>
      <w:tblStyleColBandSize w:val="1"/>
      <w:tblCellMar>
        <w:top w:w="100" w:type="dxa"/>
        <w:left w:w="100" w:type="dxa"/>
        <w:bottom w:w="100" w:type="dxa"/>
        <w:right w:w="100" w:type="dxa"/>
      </w:tblCellMar>
    </w:tblPr>
  </w:style>
  <w:style w:type="table" w:customStyle="1" w:styleId="af0">
    <w:basedOn w:val="TableNormal1"/>
    <w:rsid w:val="00A837E1"/>
    <w:tblPr>
      <w:tblStyleRowBandSize w:val="1"/>
      <w:tblStyleColBandSize w:val="1"/>
      <w:tblCellMar>
        <w:top w:w="100" w:type="dxa"/>
        <w:left w:w="100" w:type="dxa"/>
        <w:bottom w:w="100" w:type="dxa"/>
        <w:right w:w="100" w:type="dxa"/>
      </w:tblCellMar>
    </w:tblPr>
  </w:style>
  <w:style w:type="table" w:customStyle="1" w:styleId="af1">
    <w:basedOn w:val="TableNormal1"/>
    <w:rsid w:val="00A837E1"/>
    <w:tblPr>
      <w:tblStyleRowBandSize w:val="1"/>
      <w:tblStyleColBandSize w:val="1"/>
      <w:tblCellMar>
        <w:top w:w="100" w:type="dxa"/>
        <w:left w:w="100" w:type="dxa"/>
        <w:bottom w:w="100" w:type="dxa"/>
        <w:right w:w="100" w:type="dxa"/>
      </w:tblCellMar>
    </w:tblPr>
  </w:style>
  <w:style w:type="table" w:customStyle="1" w:styleId="af2">
    <w:basedOn w:val="TableNormal1"/>
    <w:rsid w:val="00A837E1"/>
    <w:tblPr>
      <w:tblStyleRowBandSize w:val="1"/>
      <w:tblStyleColBandSize w:val="1"/>
      <w:tblCellMar>
        <w:top w:w="100" w:type="dxa"/>
        <w:left w:w="100" w:type="dxa"/>
        <w:bottom w:w="100" w:type="dxa"/>
        <w:right w:w="100" w:type="dxa"/>
      </w:tblCellMar>
    </w:tblPr>
  </w:style>
  <w:style w:type="table" w:customStyle="1" w:styleId="af3">
    <w:basedOn w:val="TableNormal1"/>
    <w:rsid w:val="00A837E1"/>
    <w:tblPr>
      <w:tblStyleRowBandSize w:val="1"/>
      <w:tblStyleColBandSize w:val="1"/>
      <w:tblCellMar>
        <w:top w:w="100" w:type="dxa"/>
        <w:left w:w="100" w:type="dxa"/>
        <w:bottom w:w="100" w:type="dxa"/>
        <w:right w:w="100" w:type="dxa"/>
      </w:tblCellMar>
    </w:tblPr>
  </w:style>
  <w:style w:type="table" w:customStyle="1" w:styleId="af4">
    <w:basedOn w:val="TableNormal1"/>
    <w:rsid w:val="00A837E1"/>
    <w:tblPr>
      <w:tblStyleRowBandSize w:val="1"/>
      <w:tblStyleColBandSize w:val="1"/>
      <w:tblCellMar>
        <w:top w:w="100" w:type="dxa"/>
        <w:left w:w="100" w:type="dxa"/>
        <w:bottom w:w="100" w:type="dxa"/>
        <w:right w:w="100" w:type="dxa"/>
      </w:tblCellMar>
    </w:tblPr>
  </w:style>
  <w:style w:type="paragraph" w:styleId="af5">
    <w:name w:val="No Spacing"/>
    <w:link w:val="af6"/>
    <w:uiPriority w:val="1"/>
    <w:qFormat/>
    <w:rsid w:val="00D54B63"/>
    <w:pPr>
      <w:suppressAutoHyphens/>
      <w:spacing w:after="0" w:line="240" w:lineRule="auto"/>
    </w:pPr>
    <w:rPr>
      <w:rFonts w:eastAsia="Times New Roman"/>
      <w:lang w:val="ru-RU" w:eastAsia="zh-CN"/>
    </w:rPr>
  </w:style>
  <w:style w:type="character" w:customStyle="1" w:styleId="af6">
    <w:name w:val="Без интервала Знак"/>
    <w:link w:val="af5"/>
    <w:uiPriority w:val="1"/>
    <w:rsid w:val="00D54B63"/>
    <w:rPr>
      <w:rFonts w:eastAsia="Times New Roman"/>
      <w:lang w:val="ru-RU" w:eastAsia="zh-CN"/>
    </w:rPr>
  </w:style>
  <w:style w:type="paragraph" w:styleId="af7">
    <w:name w:val="List Paragraph"/>
    <w:basedOn w:val="a"/>
    <w:link w:val="af8"/>
    <w:uiPriority w:val="34"/>
    <w:qFormat/>
    <w:rsid w:val="00F33365"/>
    <w:pPr>
      <w:ind w:left="720"/>
      <w:contextualSpacing/>
    </w:pPr>
  </w:style>
  <w:style w:type="character" w:customStyle="1" w:styleId="af8">
    <w:name w:val="Абзац списка Знак"/>
    <w:link w:val="af7"/>
    <w:uiPriority w:val="34"/>
    <w:qFormat/>
    <w:locked/>
    <w:rsid w:val="00DF7E80"/>
  </w:style>
</w:styles>
</file>

<file path=word/webSettings.xml><?xml version="1.0" encoding="utf-8"?>
<w:webSettings xmlns:r="http://schemas.openxmlformats.org/officeDocument/2006/relationships" xmlns:w="http://schemas.openxmlformats.org/wordprocessingml/2006/main">
  <w:divs>
    <w:div w:id="1925139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4921</Words>
  <Characters>2806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2</cp:revision>
  <dcterms:created xsi:type="dcterms:W3CDTF">2023-01-02T08:08:00Z</dcterms:created>
  <dcterms:modified xsi:type="dcterms:W3CDTF">2023-01-02T08:08:00Z</dcterms:modified>
</cp:coreProperties>
</file>