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E" w:rsidRPr="00600CE3" w:rsidRDefault="00370C82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600CE3">
        <w:rPr>
          <w:rFonts w:ascii="Times New Roman" w:hAnsi="Times New Roman" w:cs="Times New Roman"/>
          <w:b/>
          <w:sz w:val="32"/>
          <w:szCs w:val="24"/>
          <w:lang w:val="uk-UA"/>
        </w:rPr>
        <w:t>Перелік внесених змін до тендерної документації:</w:t>
      </w:r>
    </w:p>
    <w:p w:rsidR="00C168E5" w:rsidRDefault="00C168E5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0CEA" w:rsidRPr="00D30CEA" w:rsidRDefault="00D30CEA" w:rsidP="00D30C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61B78" w:rsidRPr="00461B78" w:rsidRDefault="00D30CEA" w:rsidP="00461B78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lang w:val="ru-RU"/>
        </w:rPr>
      </w:pPr>
      <w:r w:rsidRPr="00461B78">
        <w:rPr>
          <w:rFonts w:ascii="Times New Roman" w:hAnsi="Times New Roman"/>
          <w:color w:val="000000" w:themeColor="text1"/>
          <w:lang w:val="ru-RU"/>
        </w:rPr>
        <w:t xml:space="preserve">ДК 021:2015 – </w:t>
      </w:r>
      <w:r w:rsidR="00461B78" w:rsidRPr="00461B78">
        <w:rPr>
          <w:rFonts w:ascii="Times New Roman" w:hAnsi="Times New Roman" w:cs="Times New Roman"/>
          <w:color w:val="2C2931"/>
          <w:shd w:val="clear" w:color="auto" w:fill="FFFFFF"/>
          <w:lang w:val="ru-RU"/>
        </w:rPr>
        <w:t>15530000-2 Вершкове масло</w:t>
      </w:r>
    </w:p>
    <w:p w:rsidR="00461B78" w:rsidRPr="00A048B1" w:rsidRDefault="00461B78" w:rsidP="00461B78">
      <w:pPr>
        <w:pStyle w:val="a5"/>
        <w:tabs>
          <w:tab w:val="left" w:pos="145"/>
          <w:tab w:val="left" w:pos="2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A048B1">
        <w:rPr>
          <w:rFonts w:ascii="Times New Roman" w:hAnsi="Times New Roman" w:cs="Times New Roman"/>
          <w:b/>
          <w:i/>
          <w:sz w:val="28"/>
          <w:szCs w:val="28"/>
        </w:rPr>
        <w:t>«</w:t>
      </w:r>
      <w:hyperlink r:id="rId5" w:history="1">
        <w:r w:rsidRPr="00A048B1">
          <w:rPr>
            <w:rStyle w:val="mend05rem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 xml:space="preserve">Масло </w:t>
        </w:r>
        <w:proofErr w:type="spellStart"/>
        <w:r w:rsidRPr="00A048B1">
          <w:rPr>
            <w:rStyle w:val="mend05rem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вершкове</w:t>
        </w:r>
        <w:proofErr w:type="spellEnd"/>
        <w:r w:rsidRPr="00A048B1">
          <w:rPr>
            <w:rStyle w:val="mend05rem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 xml:space="preserve">, </w:t>
        </w:r>
        <w:proofErr w:type="spellStart"/>
        <w:r w:rsidRPr="00A048B1">
          <w:rPr>
            <w:rStyle w:val="mend05rem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жирність</w:t>
        </w:r>
        <w:proofErr w:type="spellEnd"/>
        <w:r>
          <w:rPr>
            <w:rStyle w:val="mend05rem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 xml:space="preserve"> не </w:t>
        </w:r>
        <w:proofErr w:type="spellStart"/>
        <w:r>
          <w:rPr>
            <w:rStyle w:val="mend05rem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менше</w:t>
        </w:r>
        <w:proofErr w:type="spellEnd"/>
        <w:r w:rsidRPr="00A048B1">
          <w:rPr>
            <w:rStyle w:val="mend05rem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 xml:space="preserve"> 72,5%</w:t>
        </w:r>
      </w:hyperlink>
      <w:r w:rsidRPr="00A048B1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D72313" w:rsidRPr="007C599E" w:rsidRDefault="00D72313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15027" w:type="dxa"/>
        <w:tblInd w:w="-318" w:type="dxa"/>
        <w:tblLayout w:type="fixed"/>
        <w:tblLook w:val="04A0"/>
      </w:tblPr>
      <w:tblGrid>
        <w:gridCol w:w="7514"/>
        <w:gridCol w:w="7513"/>
      </w:tblGrid>
      <w:tr w:rsidR="00370C82" w:rsidRPr="00D72313" w:rsidTr="00D30CEA">
        <w:tc>
          <w:tcPr>
            <w:tcW w:w="7514" w:type="dxa"/>
          </w:tcPr>
          <w:p w:rsidR="00370C82" w:rsidRPr="00D72313" w:rsidRDefault="00370C82" w:rsidP="0037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7513" w:type="dxa"/>
          </w:tcPr>
          <w:p w:rsidR="00370C82" w:rsidRPr="00D72313" w:rsidRDefault="00370C82" w:rsidP="0037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AF20AF" w:rsidRPr="00D91466" w:rsidTr="00D30CEA">
        <w:tc>
          <w:tcPr>
            <w:tcW w:w="7514" w:type="dxa"/>
          </w:tcPr>
          <w:p w:rsidR="00461B78" w:rsidRDefault="00461B78" w:rsidP="00461B78">
            <w:pPr>
              <w:ind w:left="56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1B78" w:rsidRPr="00461B78" w:rsidRDefault="00461B78" w:rsidP="00461B78">
            <w:pPr>
              <w:ind w:left="5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ДОДАТОК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61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</w:t>
            </w:r>
          </w:p>
          <w:p w:rsidR="00461B78" w:rsidRPr="00461B78" w:rsidRDefault="00461B78" w:rsidP="00461B78">
            <w:pPr>
              <w:ind w:left="5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B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61B78" w:rsidRPr="00461B78" w:rsidRDefault="00461B78" w:rsidP="00461B7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Інформація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необхідні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технічні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якісні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кількісні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характеристики предмета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закупі</w:t>
            </w:r>
            <w:proofErr w:type="gram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—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технічні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вимоги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до предмета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закупівлі</w:t>
            </w:r>
            <w:proofErr w:type="spellEnd"/>
          </w:p>
          <w:p w:rsidR="00461B78" w:rsidRPr="00461B78" w:rsidRDefault="00461B78" w:rsidP="00461B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32"/>
              <w:gridCol w:w="5556"/>
            </w:tblGrid>
            <w:tr w:rsidR="00461B78" w:rsidRPr="00127181" w:rsidTr="00090320">
              <w:trPr>
                <w:trHeight w:val="224"/>
              </w:trPr>
              <w:tc>
                <w:tcPr>
                  <w:tcW w:w="1188" w:type="pct"/>
                  <w:vAlign w:val="center"/>
                </w:tcPr>
                <w:p w:rsidR="00461B78" w:rsidRPr="00127181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7181">
                    <w:rPr>
                      <w:rFonts w:ascii="Times New Roman" w:hAnsi="Times New Roman" w:cs="Times New Roman"/>
                      <w:b/>
                      <w:shd w:val="clear" w:color="auto" w:fill="FDFEFD"/>
                    </w:rPr>
                    <w:t>ДК 021:2015: 15530000-2</w:t>
                  </w:r>
                </w:p>
              </w:tc>
              <w:tc>
                <w:tcPr>
                  <w:tcW w:w="3812" w:type="pct"/>
                  <w:vAlign w:val="center"/>
                </w:tcPr>
                <w:p w:rsidR="00461B78" w:rsidRPr="00127181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proofErr w:type="spellStart"/>
                  <w:r w:rsidRPr="00127181">
                    <w:rPr>
                      <w:rFonts w:ascii="Times New Roman" w:hAnsi="Times New Roman" w:cs="Times New Roman"/>
                      <w:b/>
                      <w:shd w:val="clear" w:color="auto" w:fill="FDFEFD"/>
                    </w:rPr>
                    <w:t>Вершкове</w:t>
                  </w:r>
                  <w:proofErr w:type="spellEnd"/>
                  <w:r w:rsidRPr="00127181">
                    <w:rPr>
                      <w:rFonts w:ascii="Times New Roman" w:hAnsi="Times New Roman" w:cs="Times New Roman"/>
                      <w:b/>
                      <w:shd w:val="clear" w:color="auto" w:fill="FDFEFD"/>
                    </w:rPr>
                    <w:t xml:space="preserve"> </w:t>
                  </w:r>
                  <w:proofErr w:type="spellStart"/>
                  <w:r w:rsidRPr="00127181">
                    <w:rPr>
                      <w:rFonts w:ascii="Times New Roman" w:hAnsi="Times New Roman" w:cs="Times New Roman"/>
                      <w:b/>
                      <w:shd w:val="clear" w:color="auto" w:fill="FDFEFD"/>
                    </w:rPr>
                    <w:t>масло</w:t>
                  </w:r>
                  <w:proofErr w:type="spellEnd"/>
                </w:p>
              </w:tc>
            </w:tr>
            <w:tr w:rsidR="00461B78" w:rsidRPr="00D91466" w:rsidTr="00090320">
              <w:tc>
                <w:tcPr>
                  <w:tcW w:w="1188" w:type="pct"/>
                  <w:vAlign w:val="center"/>
                </w:tcPr>
                <w:p w:rsidR="00461B78" w:rsidRPr="00127181" w:rsidRDefault="00461B78" w:rsidP="0009032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27181">
                    <w:rPr>
                      <w:rFonts w:ascii="Times New Roman" w:hAnsi="Times New Roman" w:cs="Times New Roman"/>
                    </w:rPr>
                    <w:t>Технічні</w:t>
                  </w:r>
                  <w:proofErr w:type="spellEnd"/>
                  <w:r w:rsidRPr="0012718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27181">
                    <w:rPr>
                      <w:rFonts w:ascii="Times New Roman" w:hAnsi="Times New Roman" w:cs="Times New Roman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3812" w:type="pct"/>
                </w:tcPr>
                <w:p w:rsidR="00461B78" w:rsidRPr="00461B78" w:rsidRDefault="00461B78" w:rsidP="00090320">
                  <w:pPr>
                    <w:spacing w:after="0" w:line="240" w:lineRule="auto"/>
                    <w:ind w:left="67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461B78">
                    <w:rPr>
                      <w:rFonts w:ascii="Times New Roman" w:hAnsi="Times New Roman" w:cs="Times New Roman"/>
                      <w:bCs/>
                      <w:lang w:val="ru-RU"/>
                    </w:rPr>
                    <w:t>740 кг.</w:t>
                  </w:r>
                </w:p>
                <w:p w:rsidR="00461B78" w:rsidRPr="00461B78" w:rsidRDefault="00461B78" w:rsidP="00090320">
                  <w:pPr>
                    <w:spacing w:after="0" w:line="240" w:lineRule="auto"/>
                    <w:ind w:left="67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 xml:space="preserve">Масло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>вершкове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 xml:space="preserve"> 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>жирності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 xml:space="preserve">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>менше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 xml:space="preserve"> 72,5% </w:t>
                  </w:r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– </w:t>
                  </w:r>
                  <w:proofErr w:type="gram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без</w:t>
                  </w:r>
                  <w:proofErr w:type="gram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домішок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. ДСТУ 4399:2005. Масло повинно 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мати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характерний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смак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запах. Склад – вершки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коров’ячого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молока.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Консистенція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масла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однорідна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пластична,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поверхня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на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розрізі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тр</w:t>
                  </w:r>
                  <w:proofErr w:type="gram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ішки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блискуча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суха, без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видимих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крапель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води;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колір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від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білого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до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світло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–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жовтого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. В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розтопленому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вигляді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масло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прозоре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має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осаду.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Вмі</w:t>
                  </w:r>
                  <w:proofErr w:type="gram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ст</w:t>
                  </w:r>
                  <w:proofErr w:type="spellEnd"/>
                  <w:proofErr w:type="gram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жиру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менше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72,5%;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вологість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більше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25%. Тара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пошкоджена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чиста.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Обов’язкова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наявність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пакувального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ярлика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Кожна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партія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сировини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супроводжується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документом,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що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</w:t>
                  </w:r>
                  <w:proofErr w:type="gram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ідтверджує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її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відповідність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нормативним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документам. При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маркуванні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зазначаються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: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назва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адреса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виробника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повна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назва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продукту,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його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склад,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кінцева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дата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споживання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або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дата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виробництва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та строк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придатності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умови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зберігання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масса нетто, брутто, тара, номер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партії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інформаційні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дані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про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харчову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цінність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100 г продукту, штрих-код ЕАН та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ін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</w:tc>
            </w:tr>
          </w:tbl>
          <w:p w:rsidR="00461B78" w:rsidRPr="00461B78" w:rsidRDefault="00461B78" w:rsidP="00461B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61B78" w:rsidRPr="00461B78" w:rsidRDefault="00461B78" w:rsidP="00461B78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Документами,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що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ідтверджують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тендерної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пропозиції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учасника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технічним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якісним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кількісним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іншим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вимогам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тендерної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1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є: </w:t>
            </w:r>
          </w:p>
          <w:p w:rsidR="00461B78" w:rsidRPr="007715AB" w:rsidRDefault="00461B78" w:rsidP="00461B78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формою 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—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наведений 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7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  <w:r w:rsidRPr="00771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зазначення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країни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походження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російської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федерації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надає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митну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декларацію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ідтверджує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ввезення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цього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товару на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територію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до 24.02.2022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включно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—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наведена в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1B78" w:rsidRDefault="00461B78" w:rsidP="00461B78">
            <w:pPr>
              <w:shd w:val="clear" w:color="auto" w:fill="FFFFFF"/>
              <w:ind w:left="556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461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1</w:t>
            </w:r>
          </w:p>
          <w:tbl>
            <w:tblPr>
              <w:tblW w:w="4996" w:type="pct"/>
              <w:tblBorders>
                <w:insideH w:val="nil"/>
                <w:insideV w:val="nil"/>
              </w:tblBorders>
              <w:tblLayout w:type="fixed"/>
              <w:tblLook w:val="0600"/>
            </w:tblPr>
            <w:tblGrid>
              <w:gridCol w:w="573"/>
              <w:gridCol w:w="1664"/>
              <w:gridCol w:w="1761"/>
              <w:gridCol w:w="881"/>
              <w:gridCol w:w="1197"/>
              <w:gridCol w:w="1196"/>
            </w:tblGrid>
            <w:tr w:rsidR="00461B78" w:rsidRPr="00D91466" w:rsidTr="00090320">
              <w:trPr>
                <w:trHeight w:val="402"/>
              </w:trPr>
              <w:tc>
                <w:tcPr>
                  <w:tcW w:w="3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</w:pPr>
                  <w:bookmarkStart w:id="0" w:name="_heading=h.gjdgxs" w:colFirst="0" w:colLast="0"/>
                  <w:bookmarkEnd w:id="0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№ з/п</w:t>
                  </w:r>
                </w:p>
              </w:tc>
              <w:tc>
                <w:tcPr>
                  <w:tcW w:w="114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</w:pP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Найменування</w:t>
                  </w:r>
                  <w:proofErr w:type="spellEnd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 xml:space="preserve">  </w:t>
                  </w: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товару</w:t>
                  </w:r>
                  <w:proofErr w:type="spellEnd"/>
                </w:p>
              </w:tc>
              <w:tc>
                <w:tcPr>
                  <w:tcW w:w="121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yellow"/>
                    </w:rPr>
                  </w:pP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Технічні</w:t>
                  </w:r>
                  <w:proofErr w:type="spellEnd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характеристики</w:t>
                  </w:r>
                  <w:proofErr w:type="spellEnd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товару</w:t>
                  </w:r>
                  <w:proofErr w:type="spellEnd"/>
                </w:p>
              </w:tc>
              <w:tc>
                <w:tcPr>
                  <w:tcW w:w="606" w:type="pct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</w:pP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Од</w:t>
                  </w:r>
                  <w:proofErr w:type="spellEnd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 xml:space="preserve">. </w:t>
                  </w: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виміру</w:t>
                  </w:r>
                  <w:proofErr w:type="spellEnd"/>
                </w:p>
              </w:tc>
              <w:tc>
                <w:tcPr>
                  <w:tcW w:w="82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</w:pP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Кількість</w:t>
                  </w:r>
                  <w:proofErr w:type="spellEnd"/>
                </w:p>
              </w:tc>
              <w:tc>
                <w:tcPr>
                  <w:tcW w:w="82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vertAlign w:val="superscript"/>
                      <w:lang w:val="ru-RU"/>
                    </w:rPr>
                  </w:pPr>
                  <w:proofErr w:type="spellStart"/>
                  <w:proofErr w:type="gramStart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>Ц</w:t>
                  </w:r>
                  <w:proofErr w:type="gramEnd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>іна</w:t>
                  </w:r>
                  <w:proofErr w:type="spellEnd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 xml:space="preserve"> за </w:t>
                  </w:r>
                  <w:proofErr w:type="spellStart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>одиницю</w:t>
                  </w:r>
                  <w:proofErr w:type="spellEnd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 xml:space="preserve"> товару без ПДВ/ </w:t>
                  </w:r>
                  <w:proofErr w:type="spellStart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>з</w:t>
                  </w:r>
                  <w:proofErr w:type="spellEnd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 xml:space="preserve"> ПДВ</w:t>
                  </w:r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vertAlign w:val="superscript"/>
                      <w:lang w:val="ru-RU"/>
                    </w:rPr>
                    <w:t>*</w:t>
                  </w:r>
                </w:p>
              </w:tc>
            </w:tr>
            <w:tr w:rsidR="00461B78" w:rsidRPr="00461B78" w:rsidTr="00090320">
              <w:trPr>
                <w:trHeight w:val="20"/>
              </w:trPr>
              <w:tc>
                <w:tcPr>
                  <w:tcW w:w="39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1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2</w:t>
                  </w:r>
                </w:p>
              </w:tc>
              <w:tc>
                <w:tcPr>
                  <w:tcW w:w="1211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3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4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5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6</w:t>
                  </w:r>
                </w:p>
              </w:tc>
            </w:tr>
            <w:tr w:rsidR="00461B78" w:rsidRPr="00461B78" w:rsidTr="00090320">
              <w:trPr>
                <w:trHeight w:val="20"/>
              </w:trPr>
              <w:tc>
                <w:tcPr>
                  <w:tcW w:w="39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11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</w:p>
              </w:tc>
              <w:tc>
                <w:tcPr>
                  <w:tcW w:w="606" w:type="pc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</w:p>
              </w:tc>
            </w:tr>
          </w:tbl>
          <w:p w:rsidR="00461B78" w:rsidRPr="00461B78" w:rsidRDefault="00461B78" w:rsidP="00461B78">
            <w:pPr>
              <w:pStyle w:val="a5"/>
              <w:shd w:val="clear" w:color="auto" w:fill="FFFFFF"/>
              <w:ind w:left="8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461B78" w:rsidRPr="00461B78" w:rsidRDefault="00461B78" w:rsidP="00461B78">
            <w:pPr>
              <w:pStyle w:val="a5"/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461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метою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підтвердження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відповідності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ціни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довідку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/лист/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експертний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висновок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виданий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Торгово-промисловою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палатою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територіальним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відділенням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ім’я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щодо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рівня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запропонований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товар в</w:t>
            </w:r>
            <w:proofErr w:type="gram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іровоградській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грудні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2022 року.</w:t>
            </w:r>
          </w:p>
          <w:p w:rsidR="00461B78" w:rsidRPr="00461B78" w:rsidRDefault="00461B78" w:rsidP="00461B7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61B78" w:rsidRPr="009522EB" w:rsidRDefault="00461B78" w:rsidP="00461B78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851"/>
                <w:tab w:val="left" w:pos="156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запропованого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товару та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експертних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висновків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, тому на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аналогічний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) товар,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партія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: протокол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експертний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листопада 2022 року про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товару за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мікробіологічними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(БГКП, МАФАМ,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патогенні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мікроорганізми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сальмонели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існеві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дріжджі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коагулазопозитивний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стафілокок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ДСТУ 4399:2005. </w:t>
            </w:r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випадку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експертний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висновок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випробування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виданий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на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закупі</w:t>
            </w:r>
            <w:proofErr w:type="gram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лист-підтвердження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власника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заявника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експертного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висновку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протоколу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випробування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дозволом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наданого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документу у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вказаній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процедурі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перевірки суб’єкта господарювання (учасника), який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здійснюватиме постачання товару</w:t>
            </w: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продукти, виданий датою не раніше 4 кварталу 2022 року.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 Акт перевірки суб’єкта господарювання (учасника), який здійснюватиме постачання товару, складений за результатами проведення заходу державного контролю у формі аудиту постійно діючих процедур, заснованих на принципах HACCP, виданий датою не раніше 4 кварталу 2022 року.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Експлуатаційний дозвіл виданий на ім’я  Учасника, на потужності (об’єкт), які використовуються (використовуватимуться) для обігу предмету закупівлі (з додатками, якщо це передбачено змістом експлуатаційного дозволу) на дані потужності (об’єкти), у якому вказано про можливість здійснення виробництва та/або обігу на даних потужностях предмету закупівлі або експлуатаційний дозвіл оператора ринку, що провадить діяльність, пов’язану з виробництвом та/або зберіганням харчових продуктів тваринного походження та/або рішення про державну реєстрацію потужностей для потужностей на які не передбачено отримання експлуатаційного дозволу (надається у разі закупівлі товару, що має тваринне походження).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державну реєстрацію потужностей (надається у разі закупівлі товару, що має рослинне походження).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підтвердження запровадження обов’язкових постійно діючих процедур, заснованих на принципах Системи управління безпечністю харчових продуктів (НАССР), учасник надає документи, які підтверджують те, що Учасник (а у разі, якщо до перевезення предмету закупівлі залучається інша особа), особа яка фактично використовує (використовуватиме) спеціалізований автотранспорт для обігу предмету закупівлі  запровадив(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обов’язкові постійно діючі процедури, засновані на принципах Системи управління безпечністю харчових продуктів (НАССР), а саме:</w:t>
            </w:r>
          </w:p>
          <w:p w:rsidR="00461B78" w:rsidRPr="009522EB" w:rsidRDefault="00461B78" w:rsidP="00461B78">
            <w:pPr>
              <w:pStyle w:val="a7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сертифікат, відповідно, учасника та особи, який посвідчує, що система управління безпечністю харчових продуктів відповідає ДСТУ ISO 22000:2019 (ISO 22000:2018, IDT) «Системи управління безпечністю харчових продуктів. Вимоги до будь-якої організації в харчовому ланцюгу» та/або ISO 22000:2018 «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Food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Safety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Systems-Requirements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any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organization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food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chain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(ISO 22000:2018 «Системи управління безпечністю харчових продуктів. Вимоги до будь-яких організацій харчового ланцюга») або ДСТУ 4161-2003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“Системи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безпечністю харчових продуктів.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Вимоги”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разі якщо Учасник виробник: виробництво, зберігання, торгівля транспортування; у разі якщо Учасник не виробник: зберігання, торгівля, транспортування; якщо залучається Перевізник – транспортування).</w:t>
            </w:r>
          </w:p>
          <w:p w:rsidR="00461B78" w:rsidRPr="009522EB" w:rsidRDefault="00461B78" w:rsidP="00461B78">
            <w:pPr>
              <w:pStyle w:val="a7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відсутності вищезазначеного(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сертифікатів, учасник надає наступні документи для підтвердження, відповідно, учасником та особою запровадження обов’язкових постійно діючих процедур, заснованих на принципах Системи управління безпечністю харчових продуктів (НАССР), а саме:  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про створення групи безпечності (групи НАССР) та документальне підтвердження знань, досвіду групи безпечності, права здійснювати відповідне навчання, дати (факту) проведеного навчання;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політику щодо безпечності харчових продуктів;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план(и) НАССР, що передбачені ДСТУ ISO 22000:2019 (ISO 22000:2018, IDT) або ДСТУ 4161-2003;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програми-передумови, що передбачені ДСТУ ISO 22000:2019 (ISO 22000:2018, IDT) або ДСТУ 4161-2003;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про результати внутрішніх аудитів;</w:t>
            </w:r>
          </w:p>
          <w:p w:rsidR="00461B78" w:rsidRPr="00AB612A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журнали, що передбачені</w:t>
            </w: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ДСТУ ISO 22000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:2019 (ISO 22000:2018, IDT) або</w:t>
            </w: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ДСТУ 4161-2003.</w:t>
            </w:r>
          </w:p>
          <w:p w:rsidR="00461B78" w:rsidRPr="00A229AC" w:rsidRDefault="00461B78" w:rsidP="00461B78">
            <w:pPr>
              <w:pStyle w:val="a5"/>
              <w:numPr>
                <w:ilvl w:val="0"/>
                <w:numId w:val="20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Оригінал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копію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наказу (в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редакції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дійсної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на момент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подачі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тендерної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пропозиції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) про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призначення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осіб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відповідальних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за контроль за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застосування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постійно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діючих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процедур,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базуються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на принципах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аналізу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небезпечних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факторів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контролю у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критичних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точках, за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ці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процедури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час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виробництва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обігу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згідно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із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Законом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№ 771/97 «Про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основні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принципи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вимоги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безпечності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якості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</w:t>
            </w:r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>».</w:t>
            </w:r>
          </w:p>
          <w:p w:rsidR="00461B78" w:rsidRPr="00A229AC" w:rsidRDefault="00461B78" w:rsidP="00461B78">
            <w:pPr>
              <w:pStyle w:val="a5"/>
              <w:numPr>
                <w:ilvl w:val="0"/>
                <w:numId w:val="20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Оригінали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копії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документів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сертифікати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та/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>ідоцтва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),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які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підтверджують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Учасник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забезпечив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належну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підготовку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всіх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осіб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які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є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відповідальними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застосування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постійно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діючих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процедур </w:t>
            </w:r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Копія</w:t>
            </w:r>
            <w:proofErr w:type="spellEnd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 xml:space="preserve"> титульного листа 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процедури</w:t>
            </w:r>
            <w:proofErr w:type="spellEnd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базуються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на принципах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аналізу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небезпечних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факторів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контролю у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критичних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точках, за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ці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процедури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під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час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виробництва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обігу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згідно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із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Законом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№ 771/97 «Про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основні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принципи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вимоги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безпечності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якості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</w:t>
            </w:r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  <w:p w:rsidR="00AF20AF" w:rsidRPr="00461B78" w:rsidRDefault="00461B78" w:rsidP="00461B78">
            <w:pPr>
              <w:pStyle w:val="a5"/>
              <w:numPr>
                <w:ilvl w:val="0"/>
                <w:numId w:val="20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lastRenderedPageBreak/>
              <w:t>Сертифікати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Оригінали</w:t>
            </w:r>
            <w:proofErr w:type="spellEnd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або</w:t>
            </w:r>
            <w:proofErr w:type="spellEnd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Копії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) на систему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безпечністю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СУЯ, СУЕК,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виданих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органом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із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сертифікації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акредитованим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Національним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агенством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акредитації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на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і</w:t>
            </w:r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м’я</w:t>
            </w:r>
            <w:proofErr w:type="spellEnd"/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Учасника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513" w:type="dxa"/>
          </w:tcPr>
          <w:p w:rsidR="00461B78" w:rsidRPr="00461B78" w:rsidRDefault="00461B78" w:rsidP="00461B78">
            <w:pPr>
              <w:ind w:left="56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461B78" w:rsidRPr="00461B78" w:rsidRDefault="00461B78" w:rsidP="00461B78">
            <w:pPr>
              <w:ind w:left="5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ДОДАТОК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61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</w:t>
            </w:r>
          </w:p>
          <w:p w:rsidR="00461B78" w:rsidRPr="00461B78" w:rsidRDefault="00461B78" w:rsidP="00461B78">
            <w:pPr>
              <w:ind w:left="5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B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61B78" w:rsidRPr="00461B78" w:rsidRDefault="00461B78" w:rsidP="00461B7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Інформація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необхідні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технічні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якісні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кількісні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характеристики предмета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закупі</w:t>
            </w:r>
            <w:proofErr w:type="gram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—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технічні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вимоги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 xml:space="preserve"> до предмета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ru-RU"/>
              </w:rPr>
              <w:t>закупівлі</w:t>
            </w:r>
            <w:proofErr w:type="spellEnd"/>
          </w:p>
          <w:p w:rsidR="00461B78" w:rsidRPr="00461B78" w:rsidRDefault="00461B78" w:rsidP="00461B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31"/>
              <w:gridCol w:w="5556"/>
            </w:tblGrid>
            <w:tr w:rsidR="00461B78" w:rsidRPr="00127181" w:rsidTr="00090320">
              <w:trPr>
                <w:trHeight w:val="224"/>
              </w:trPr>
              <w:tc>
                <w:tcPr>
                  <w:tcW w:w="1188" w:type="pct"/>
                  <w:vAlign w:val="center"/>
                </w:tcPr>
                <w:p w:rsidR="00461B78" w:rsidRPr="00127181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7181">
                    <w:rPr>
                      <w:rFonts w:ascii="Times New Roman" w:hAnsi="Times New Roman" w:cs="Times New Roman"/>
                      <w:b/>
                      <w:shd w:val="clear" w:color="auto" w:fill="FDFEFD"/>
                    </w:rPr>
                    <w:t>ДК 021:2015: 15530000-2</w:t>
                  </w:r>
                </w:p>
              </w:tc>
              <w:tc>
                <w:tcPr>
                  <w:tcW w:w="3812" w:type="pct"/>
                  <w:vAlign w:val="center"/>
                </w:tcPr>
                <w:p w:rsidR="00461B78" w:rsidRPr="00127181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proofErr w:type="spellStart"/>
                  <w:r w:rsidRPr="00127181">
                    <w:rPr>
                      <w:rFonts w:ascii="Times New Roman" w:hAnsi="Times New Roman" w:cs="Times New Roman"/>
                      <w:b/>
                      <w:shd w:val="clear" w:color="auto" w:fill="FDFEFD"/>
                    </w:rPr>
                    <w:t>Вершкове</w:t>
                  </w:r>
                  <w:proofErr w:type="spellEnd"/>
                  <w:r w:rsidRPr="00127181">
                    <w:rPr>
                      <w:rFonts w:ascii="Times New Roman" w:hAnsi="Times New Roman" w:cs="Times New Roman"/>
                      <w:b/>
                      <w:shd w:val="clear" w:color="auto" w:fill="FDFEFD"/>
                    </w:rPr>
                    <w:t xml:space="preserve"> </w:t>
                  </w:r>
                  <w:proofErr w:type="spellStart"/>
                  <w:r w:rsidRPr="00127181">
                    <w:rPr>
                      <w:rFonts w:ascii="Times New Roman" w:hAnsi="Times New Roman" w:cs="Times New Roman"/>
                      <w:b/>
                      <w:shd w:val="clear" w:color="auto" w:fill="FDFEFD"/>
                    </w:rPr>
                    <w:t>масло</w:t>
                  </w:r>
                  <w:proofErr w:type="spellEnd"/>
                </w:p>
              </w:tc>
            </w:tr>
            <w:tr w:rsidR="00461B78" w:rsidRPr="00D91466" w:rsidTr="00090320">
              <w:tc>
                <w:tcPr>
                  <w:tcW w:w="1188" w:type="pct"/>
                  <w:vAlign w:val="center"/>
                </w:tcPr>
                <w:p w:rsidR="00461B78" w:rsidRPr="00127181" w:rsidRDefault="00461B78" w:rsidP="0009032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27181">
                    <w:rPr>
                      <w:rFonts w:ascii="Times New Roman" w:hAnsi="Times New Roman" w:cs="Times New Roman"/>
                    </w:rPr>
                    <w:t>Технічні</w:t>
                  </w:r>
                  <w:proofErr w:type="spellEnd"/>
                  <w:r w:rsidRPr="0012718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27181">
                    <w:rPr>
                      <w:rFonts w:ascii="Times New Roman" w:hAnsi="Times New Roman" w:cs="Times New Roman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3812" w:type="pct"/>
                </w:tcPr>
                <w:p w:rsidR="00461B78" w:rsidRPr="00461B78" w:rsidRDefault="00461B78" w:rsidP="00090320">
                  <w:pPr>
                    <w:spacing w:after="0" w:line="240" w:lineRule="auto"/>
                    <w:ind w:left="67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461B78">
                    <w:rPr>
                      <w:rFonts w:ascii="Times New Roman" w:hAnsi="Times New Roman" w:cs="Times New Roman"/>
                      <w:bCs/>
                      <w:lang w:val="ru-RU"/>
                    </w:rPr>
                    <w:t>740 кг.</w:t>
                  </w:r>
                </w:p>
                <w:p w:rsidR="00461B78" w:rsidRPr="00461B78" w:rsidRDefault="00461B78" w:rsidP="00090320">
                  <w:pPr>
                    <w:spacing w:after="0" w:line="240" w:lineRule="auto"/>
                    <w:ind w:left="67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 xml:space="preserve">Масло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>вершкове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 xml:space="preserve"> 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>жирності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 xml:space="preserve">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>менше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ru-RU"/>
                    </w:rPr>
                    <w:t xml:space="preserve"> 72,5% </w:t>
                  </w:r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– </w:t>
                  </w:r>
                  <w:proofErr w:type="gram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без</w:t>
                  </w:r>
                  <w:proofErr w:type="gram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домішок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. ДСТУ 4399:2005. Масло повинно 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мати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характерний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смак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запах. Склад – вершки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коров’ячого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молока.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Консистенція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масла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однорідна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пластична,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поверхня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на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розрізі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тр</w:t>
                  </w:r>
                  <w:proofErr w:type="gram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ішки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блискуча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суха, без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видимих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крапель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води;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колір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від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білого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до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світло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–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жовтого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. В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розтопленому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вигляді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масло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прозоре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має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осаду.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Вмі</w:t>
                  </w:r>
                  <w:proofErr w:type="gram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ст</w:t>
                  </w:r>
                  <w:proofErr w:type="spellEnd"/>
                  <w:proofErr w:type="gram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жиру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менше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72,5%;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вологість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більше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25%. Тара не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пошкоджена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чиста.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Обов’язкова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наявність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пакувального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ярлика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Кожна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партія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сировини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супроводжується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документом,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що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</w:t>
                  </w:r>
                  <w:proofErr w:type="gram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ідтверджує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її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відповідність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нормативним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документам. При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маркуванні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зазначаються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: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назва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адреса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виробника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повна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назва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продукту,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його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склад,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кінцева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дата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споживання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або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дата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виробництва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та строк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придатності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умови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зберігання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масса нетто, брутто, тара, номер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партії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,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інформаційні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дані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про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харчову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цінність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 xml:space="preserve"> 100 г продукту, штрих-код ЕАН та </w:t>
                  </w:r>
                  <w:proofErr w:type="spellStart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ін</w:t>
                  </w:r>
                  <w:proofErr w:type="spellEnd"/>
                  <w:r w:rsidRPr="00461B78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</w:tc>
            </w:tr>
          </w:tbl>
          <w:p w:rsidR="00461B78" w:rsidRPr="00461B78" w:rsidRDefault="00461B78" w:rsidP="00461B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61B78" w:rsidRPr="00461B78" w:rsidRDefault="00461B78" w:rsidP="00461B78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Документами,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що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ідтверджують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тендерної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пропозиції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учасника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технічним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якісним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кількісним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іншим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вимогам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тендерної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461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1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є: </w:t>
            </w:r>
          </w:p>
          <w:p w:rsidR="00461B78" w:rsidRPr="007715AB" w:rsidRDefault="00461B78" w:rsidP="00461B78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993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формою 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—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наведений 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71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  <w:r w:rsidRPr="00771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зазначення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країни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походження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російської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федерації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надає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митну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декларацію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ідтверджує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ввезення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цього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товару на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територію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до 24.02.2022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включно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—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креслення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наведена в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771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1B78" w:rsidRDefault="00461B78" w:rsidP="00461B78">
            <w:pPr>
              <w:shd w:val="clear" w:color="auto" w:fill="FFFFFF"/>
              <w:ind w:left="55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461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1</w:t>
            </w:r>
          </w:p>
          <w:tbl>
            <w:tblPr>
              <w:tblW w:w="4996" w:type="pct"/>
              <w:tblBorders>
                <w:insideH w:val="nil"/>
                <w:insideV w:val="nil"/>
              </w:tblBorders>
              <w:tblLayout w:type="fixed"/>
              <w:tblLook w:val="0600"/>
            </w:tblPr>
            <w:tblGrid>
              <w:gridCol w:w="573"/>
              <w:gridCol w:w="1664"/>
              <w:gridCol w:w="1761"/>
              <w:gridCol w:w="881"/>
              <w:gridCol w:w="1197"/>
              <w:gridCol w:w="1195"/>
            </w:tblGrid>
            <w:tr w:rsidR="00461B78" w:rsidRPr="00D91466" w:rsidTr="00090320">
              <w:trPr>
                <w:trHeight w:val="402"/>
              </w:trPr>
              <w:tc>
                <w:tcPr>
                  <w:tcW w:w="3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</w:pPr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№ з/п</w:t>
                  </w:r>
                </w:p>
              </w:tc>
              <w:tc>
                <w:tcPr>
                  <w:tcW w:w="114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</w:pP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Найменування</w:t>
                  </w:r>
                  <w:proofErr w:type="spellEnd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 xml:space="preserve">  </w:t>
                  </w: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товару</w:t>
                  </w:r>
                  <w:proofErr w:type="spellEnd"/>
                </w:p>
              </w:tc>
              <w:tc>
                <w:tcPr>
                  <w:tcW w:w="121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yellow"/>
                    </w:rPr>
                  </w:pP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Технічні</w:t>
                  </w:r>
                  <w:proofErr w:type="spellEnd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характеристики</w:t>
                  </w:r>
                  <w:proofErr w:type="spellEnd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 xml:space="preserve"> </w:t>
                  </w: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товару</w:t>
                  </w:r>
                  <w:proofErr w:type="spellEnd"/>
                </w:p>
              </w:tc>
              <w:tc>
                <w:tcPr>
                  <w:tcW w:w="606" w:type="pct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</w:pP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Од</w:t>
                  </w:r>
                  <w:proofErr w:type="spellEnd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 xml:space="preserve">. </w:t>
                  </w: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виміру</w:t>
                  </w:r>
                  <w:proofErr w:type="spellEnd"/>
                </w:p>
              </w:tc>
              <w:tc>
                <w:tcPr>
                  <w:tcW w:w="82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461B78" w:rsidRPr="009522EB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</w:pPr>
                  <w:proofErr w:type="spellStart"/>
                  <w:r w:rsidRPr="009522EB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</w:rPr>
                    <w:t>Кількість</w:t>
                  </w:r>
                  <w:proofErr w:type="spellEnd"/>
                </w:p>
              </w:tc>
              <w:tc>
                <w:tcPr>
                  <w:tcW w:w="82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vertAlign w:val="superscript"/>
                      <w:lang w:val="ru-RU"/>
                    </w:rPr>
                  </w:pPr>
                  <w:proofErr w:type="spellStart"/>
                  <w:proofErr w:type="gramStart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>Ц</w:t>
                  </w:r>
                  <w:proofErr w:type="gramEnd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>іна</w:t>
                  </w:r>
                  <w:proofErr w:type="spellEnd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 xml:space="preserve"> за </w:t>
                  </w:r>
                  <w:proofErr w:type="spellStart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>одиницю</w:t>
                  </w:r>
                  <w:proofErr w:type="spellEnd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 xml:space="preserve"> товару без ПДВ/ </w:t>
                  </w:r>
                  <w:proofErr w:type="spellStart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>з</w:t>
                  </w:r>
                  <w:proofErr w:type="spellEnd"/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lang w:val="ru-RU"/>
                    </w:rPr>
                    <w:t xml:space="preserve"> ПДВ</w:t>
                  </w:r>
                  <w:r w:rsidRPr="00461B78">
                    <w:rPr>
                      <w:rFonts w:ascii="Times New Roman" w:eastAsia="Times New Roman" w:hAnsi="Times New Roman" w:cs="Times New Roman"/>
                      <w:i/>
                      <w:szCs w:val="24"/>
                      <w:highlight w:val="white"/>
                      <w:vertAlign w:val="superscript"/>
                      <w:lang w:val="ru-RU"/>
                    </w:rPr>
                    <w:t>*</w:t>
                  </w:r>
                </w:p>
              </w:tc>
            </w:tr>
            <w:tr w:rsidR="00461B78" w:rsidRPr="00461B78" w:rsidTr="00090320">
              <w:trPr>
                <w:trHeight w:val="20"/>
              </w:trPr>
              <w:tc>
                <w:tcPr>
                  <w:tcW w:w="39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1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2</w:t>
                  </w:r>
                </w:p>
              </w:tc>
              <w:tc>
                <w:tcPr>
                  <w:tcW w:w="1211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3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4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5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highlight w:val="white"/>
                      <w:lang w:val="ru-RU"/>
                    </w:rPr>
                    <w:t>6</w:t>
                  </w:r>
                </w:p>
              </w:tc>
            </w:tr>
            <w:tr w:rsidR="00461B78" w:rsidRPr="00461B78" w:rsidTr="00090320">
              <w:trPr>
                <w:trHeight w:val="20"/>
              </w:trPr>
              <w:tc>
                <w:tcPr>
                  <w:tcW w:w="39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11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</w:p>
              </w:tc>
              <w:tc>
                <w:tcPr>
                  <w:tcW w:w="606" w:type="pc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  <w:r w:rsidRPr="00461B7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461B78" w:rsidRPr="00461B78" w:rsidRDefault="00461B78" w:rsidP="00090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4"/>
                      <w:highlight w:val="white"/>
                      <w:lang w:val="ru-RU"/>
                    </w:rPr>
                  </w:pPr>
                </w:p>
              </w:tc>
            </w:tr>
          </w:tbl>
          <w:p w:rsidR="00461B78" w:rsidRDefault="00461B78" w:rsidP="00461B78">
            <w:pPr>
              <w:pStyle w:val="a5"/>
              <w:shd w:val="clear" w:color="auto" w:fill="FFFFFF"/>
              <w:ind w:left="8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461B78" w:rsidRPr="009522EB" w:rsidRDefault="00461B78" w:rsidP="00461B78">
            <w:pPr>
              <w:pStyle w:val="a5"/>
              <w:numPr>
                <w:ilvl w:val="0"/>
                <w:numId w:val="20"/>
              </w:numPr>
              <w:tabs>
                <w:tab w:val="left" w:pos="284"/>
                <w:tab w:val="left" w:pos="851"/>
                <w:tab w:val="left" w:pos="156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запропованого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товару та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експертних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висновків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, тому на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аналогічний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) товар,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партія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: протокол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експертний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листопада 2022 року про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товару за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мікробіологічними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(БГКП, МАФАМ,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патогенні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мікроорганізми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сальмонели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існеві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дріжджі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коагулазопозитивний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стафілокок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</w:rPr>
              <w:t xml:space="preserve"> ДСТУ 4399:2005. </w:t>
            </w:r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випадку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експертний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висновок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випробування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виданий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на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закупі</w:t>
            </w:r>
            <w:proofErr w:type="gram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лист-підтвердження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власника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заявника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експертного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висновку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протоколу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випробування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дозволом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наданого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документу у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вказаній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процедурі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9522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перевірки суб’єкта господарювання (учасника), який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здійснюватиме постачання товару</w:t>
            </w: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</w:t>
            </w: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законодавства про харчові продукти, виданий датою не раніше 4 кварталу 2022 року.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 Акт перевірки суб’єкта господарювання (учасника), який здійснюватиме постачання товару, складений за результатами проведення заходу державного контролю у формі аудиту постійно діючих процедур, заснованих на принципах HACCP, виданий датою не раніше 4 кварталу 2022 року.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Експлуатаційний дозвіл виданий на ім’я  Учасника, на потужності (об’єкт), які використовуються (використовуватимуться) для обігу предмету закупівлі (з додатками, якщо це передбачено змістом експлуатаційного дозволу) на дані потужності (об’єкти), у якому вказано про можливість здійснення виробництва та/або обігу на даних потужностях предмету закупівлі або експлуатаційний дозвіл оператора ринку, що провадить діяльність, пов’язану з виробництвом та/або зберіганням харчових продуктів тваринного походження та/або рішення про державну реєстрацію потужностей для потужностей на які не передбачено отримання експлуатаційного дозволу (надається у разі закупівлі товару, що має тваринне походження).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державну реєстрацію потужностей (надається у разі закупівлі товару, що має рослинне походження).</w:t>
            </w:r>
          </w:p>
          <w:p w:rsidR="00461B78" w:rsidRPr="009522EB" w:rsidRDefault="00461B78" w:rsidP="00461B7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підтвердження запровадження обов’язкових постійно діючих процедур, заснованих на принципах Системи управління безпечністю харчових продуктів (НАССР), учасник надає документи, які підтверджують те, що Учасник (а у разі, якщо до перевезення предмету закупівлі залучається інша особа), особа яка фактично використовує (використовуватиме) спеціалізований автотранспорт для обігу предмету закупівлі  запровадив(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обов’язкові постійно діючі процедури, засновані на принципах Системи управління безпечністю харчових продуктів (НАССР), а саме:</w:t>
            </w:r>
          </w:p>
          <w:p w:rsidR="00461B78" w:rsidRPr="009522EB" w:rsidRDefault="00461B78" w:rsidP="00461B78">
            <w:pPr>
              <w:pStyle w:val="a7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сертифікат, відповідно, учасника та особи, який посвідчує, що система управління безпечністю харчових продуктів відповідає ДСТУ ISO 22000:2019 (ISO 22000:2018, IDT) «Системи управління безпечністю харчових продуктів. Вимоги до будь-якої організації в харчовому ланцюгу» та/або ISO 22000:2018 «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Food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Safety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Systems-Requirements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any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organization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food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chain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(ISO 22000:2018 «Системи управління безпечністю харчових продуктів. Вимоги до будь-яких організацій харчового ланцюга») або ДСТУ 4161-2003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“Системи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безпечністю харчових продуктів. 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Вимоги”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разі якщо Учасник виробник: виробництво, зберігання, </w:t>
            </w: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торгівля транспортування; у разі якщо Учасник не виробник: зберігання, торгівля, транспортування; якщо залучається Перевізник – транспортування).</w:t>
            </w:r>
          </w:p>
          <w:p w:rsidR="00461B78" w:rsidRPr="009522EB" w:rsidRDefault="00461B78" w:rsidP="00461B78">
            <w:pPr>
              <w:pStyle w:val="a7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відсутності вищезазначеного(</w:t>
            </w:r>
            <w:proofErr w:type="spellStart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</w:t>
            </w:r>
            <w:proofErr w:type="spellEnd"/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сертифікатів, учасник надає наступні документи для підтвердження, відповідно, учасником та особою запровадження обов’язкових постійно діючих процедур, заснованих на принципах Системи управління безпечністю харчових продуктів (НАССР), а саме:  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про створення групи безпечності (групи НАССР) та документальне підтвердження знань, досвіду групи безпечності, права здійснювати відповідне навчання, дати (факту) проведеного навчання;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політику щодо безпечності харчових продуктів;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план(и) НАССР, що передбачені ДСТУ ISO 22000:2019 (ISO 22000:2018, IDT) або ДСТУ 4161-2003;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програми-передумови, що передбачені ДСТУ ISO 22000:2019 (ISO 22000:2018, IDT) або ДСТУ 4161-2003;</w:t>
            </w:r>
          </w:p>
          <w:p w:rsidR="00461B78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про результати внутрішніх аудитів;</w:t>
            </w:r>
          </w:p>
          <w:p w:rsidR="00461B78" w:rsidRPr="00AB612A" w:rsidRDefault="00461B78" w:rsidP="00461B78">
            <w:pPr>
              <w:pStyle w:val="a7"/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журнали, що передбачені</w:t>
            </w: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ДСТУ ISO 22000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:2019 (ISO 22000:2018, IDT) або</w:t>
            </w:r>
            <w:r w:rsidRPr="00AB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ДСТУ 4161-2003.</w:t>
            </w:r>
          </w:p>
          <w:p w:rsidR="00461B78" w:rsidRPr="00A229AC" w:rsidRDefault="00461B78" w:rsidP="00461B78">
            <w:pPr>
              <w:pStyle w:val="a5"/>
              <w:numPr>
                <w:ilvl w:val="0"/>
                <w:numId w:val="20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Оригінал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копію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наказу (в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редакції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дійсної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на момент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подачі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тендерної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пропозиції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) про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призначення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осіб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відповідальних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за контроль за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застосування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постійно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діючих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процедур,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базуються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на принципах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аналізу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небезпечних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факторів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контролю у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критичних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точках, за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ці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процедури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час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виробництва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обігу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згідно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із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Законом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№ 771/97 «Про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основні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принципи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вимоги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безпечності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якості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</w:t>
            </w:r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>».</w:t>
            </w:r>
          </w:p>
          <w:p w:rsidR="00461B78" w:rsidRPr="00A229AC" w:rsidRDefault="00461B78" w:rsidP="00461B78">
            <w:pPr>
              <w:pStyle w:val="a5"/>
              <w:numPr>
                <w:ilvl w:val="0"/>
                <w:numId w:val="20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Оригінали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копії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документів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сертифікати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та/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або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>ідоцтва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),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які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підтверджують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Учасник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забезпечив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належну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підготовку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всіх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осіб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які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є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відповідальними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застосування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постійно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діючих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процедур </w:t>
            </w:r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Копія</w:t>
            </w:r>
            <w:proofErr w:type="spellEnd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 xml:space="preserve"> титульного листа 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процедури</w:t>
            </w:r>
            <w:proofErr w:type="spellEnd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базуються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на принципах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аналізу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небезпечних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факторів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контролю у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критичних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точках, за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ці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процедури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під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час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виробництва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обігу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згідно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із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Законом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№ 771/97 «Про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основні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принципи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вимоги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безпечності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якості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</w:t>
            </w:r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  <w:p w:rsidR="00461B78" w:rsidRPr="00A229AC" w:rsidRDefault="00461B78" w:rsidP="00461B78">
            <w:pPr>
              <w:pStyle w:val="a5"/>
              <w:numPr>
                <w:ilvl w:val="0"/>
                <w:numId w:val="20"/>
              </w:numPr>
              <w:tabs>
                <w:tab w:val="left" w:pos="709"/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Сертифікати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Оригінали</w:t>
            </w:r>
            <w:proofErr w:type="spellEnd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або</w:t>
            </w:r>
            <w:proofErr w:type="spellEnd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b/>
                <w:bCs/>
                <w:sz w:val="24"/>
              </w:rPr>
              <w:t>Копії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) на систему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безпечністю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харчових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продуктів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СУЯ, СУЕК,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виданих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органом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із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сертифікації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акредитованим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Національним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агенством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акредитації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, на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і</w:t>
            </w:r>
            <w:proofErr w:type="gramStart"/>
            <w:r w:rsidRPr="00A229AC">
              <w:rPr>
                <w:rFonts w:ascii="Times New Roman" w:hAnsi="Times New Roman" w:cs="Times New Roman"/>
                <w:sz w:val="24"/>
              </w:rPr>
              <w:t>м’я</w:t>
            </w:r>
            <w:proofErr w:type="spellEnd"/>
            <w:proofErr w:type="gramEnd"/>
            <w:r w:rsidRPr="00A229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29AC">
              <w:rPr>
                <w:rFonts w:ascii="Times New Roman" w:hAnsi="Times New Roman" w:cs="Times New Roman"/>
                <w:sz w:val="24"/>
              </w:rPr>
              <w:t>Учасника</w:t>
            </w:r>
            <w:proofErr w:type="spellEnd"/>
            <w:r w:rsidRPr="00A229A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61B78" w:rsidRPr="00461B78" w:rsidRDefault="00461B78" w:rsidP="00461B7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20AF" w:rsidRPr="00D30CEA" w:rsidRDefault="00AF20AF" w:rsidP="00600CE3">
            <w:pPr>
              <w:tabs>
                <w:tab w:val="left" w:pos="6839"/>
                <w:tab w:val="left" w:pos="7277"/>
              </w:tabs>
              <w:ind w:right="176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68E5" w:rsidRPr="00D91466" w:rsidTr="00D30CEA">
        <w:tc>
          <w:tcPr>
            <w:tcW w:w="7514" w:type="dxa"/>
          </w:tcPr>
          <w:p w:rsidR="00C168E5" w:rsidRDefault="00D91466" w:rsidP="007C6B0B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Розділ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розкриття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D91466" w:rsidRDefault="00D91466" w:rsidP="007C6B0B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D91466" w:rsidRDefault="00D91466" w:rsidP="00D9146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86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06.01.2023</w:t>
            </w:r>
            <w:r w:rsidRPr="00CC686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00:00 годин.</w:t>
            </w:r>
          </w:p>
          <w:p w:rsidR="00D91466" w:rsidRDefault="00D91466" w:rsidP="00D91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D91466" w:rsidRDefault="00D91466" w:rsidP="00D91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D91466" w:rsidRPr="00D91466" w:rsidRDefault="00D91466" w:rsidP="00D91466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ісля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кінцевого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:rsidR="00D91466" w:rsidRDefault="00D91466" w:rsidP="00D91466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Розділ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розкриття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D91466" w:rsidRDefault="00D91466" w:rsidP="00D91466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D91466" w:rsidRPr="00D91466" w:rsidRDefault="00D91466" w:rsidP="00D9146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proofErr w:type="spellStart"/>
            <w:r w:rsidRPr="00D9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D9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46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ru-RU"/>
              </w:rPr>
              <w:t>до 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ru-RU"/>
              </w:rPr>
              <w:t>7</w:t>
            </w:r>
            <w:r w:rsidRPr="00D9146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ru-RU"/>
              </w:rPr>
              <w:t>.01.2023 00:00 годин.</w:t>
            </w:r>
          </w:p>
          <w:p w:rsidR="00D91466" w:rsidRPr="00D91466" w:rsidRDefault="00D91466" w:rsidP="00D91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Отримана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тендерна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вноситься автоматично до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91466" w:rsidRPr="00D91466" w:rsidRDefault="00D91466" w:rsidP="00D91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автоматично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формує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надсилає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учаснику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часу.</w:t>
            </w:r>
          </w:p>
          <w:p w:rsidR="00C168E5" w:rsidRPr="00600CE3" w:rsidRDefault="00D91466" w:rsidP="00D91466">
            <w:pPr>
              <w:tabs>
                <w:tab w:val="left" w:pos="6839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ісля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кінцевого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0CE3" w:rsidRPr="00D91466" w:rsidTr="00D30CEA">
        <w:tc>
          <w:tcPr>
            <w:tcW w:w="7514" w:type="dxa"/>
          </w:tcPr>
          <w:p w:rsidR="00600CE3" w:rsidRPr="00600CE3" w:rsidRDefault="00600CE3" w:rsidP="007C6B0B">
            <w:pPr>
              <w:tabs>
                <w:tab w:val="left" w:pos="602"/>
              </w:tabs>
              <w:ind w:right="176" w:firstLine="31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600CE3" w:rsidRPr="00600CE3" w:rsidRDefault="00600CE3" w:rsidP="00600CE3">
            <w:pPr>
              <w:tabs>
                <w:tab w:val="left" w:pos="6839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70C82" w:rsidRPr="007C6B0B" w:rsidRDefault="00370C82" w:rsidP="003723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1" w:name="_GoBack"/>
      <w:bookmarkEnd w:id="1"/>
    </w:p>
    <w:sectPr w:rsidR="00370C82" w:rsidRPr="007C6B0B" w:rsidSect="000A05B1">
      <w:pgSz w:w="15840" w:h="12240" w:orient="landscape"/>
      <w:pgMar w:top="284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1262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3"/>
    <w:multiLevelType w:val="singleLevel"/>
    <w:tmpl w:val="2DA8DE6E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</w:abstractNum>
  <w:abstractNum w:abstractNumId="4">
    <w:nsid w:val="00724585"/>
    <w:multiLevelType w:val="hybridMultilevel"/>
    <w:tmpl w:val="99723ABA"/>
    <w:lvl w:ilvl="0" w:tplc="8BE431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4FF47F2"/>
    <w:multiLevelType w:val="hybridMultilevel"/>
    <w:tmpl w:val="6DB8C07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0E91153E"/>
    <w:multiLevelType w:val="hybridMultilevel"/>
    <w:tmpl w:val="8CF2C714"/>
    <w:lvl w:ilvl="0" w:tplc="B9DCA5D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F120805"/>
    <w:multiLevelType w:val="hybridMultilevel"/>
    <w:tmpl w:val="6E0E69EA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B6847"/>
    <w:multiLevelType w:val="hybridMultilevel"/>
    <w:tmpl w:val="8B2A3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C73267"/>
    <w:multiLevelType w:val="hybridMultilevel"/>
    <w:tmpl w:val="6B089F80"/>
    <w:lvl w:ilvl="0" w:tplc="DFA8CC76">
      <w:start w:val="740"/>
      <w:numFmt w:val="bullet"/>
      <w:lvlText w:val="-"/>
      <w:lvlJc w:val="left"/>
      <w:pPr>
        <w:ind w:left="927" w:hanging="360"/>
      </w:pPr>
      <w:rPr>
        <w:rFonts w:ascii="Times New Roman" w:eastAsia="Symbo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9164CF4"/>
    <w:multiLevelType w:val="hybridMultilevel"/>
    <w:tmpl w:val="AB185A60"/>
    <w:lvl w:ilvl="0" w:tplc="960A7E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A54F3"/>
    <w:multiLevelType w:val="hybridMultilevel"/>
    <w:tmpl w:val="5BF41DD4"/>
    <w:lvl w:ilvl="0" w:tplc="9642F5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2CEE"/>
    <w:multiLevelType w:val="hybridMultilevel"/>
    <w:tmpl w:val="72B64D28"/>
    <w:lvl w:ilvl="0" w:tplc="6B26FC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A1576"/>
    <w:multiLevelType w:val="multilevel"/>
    <w:tmpl w:val="01F09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5BD092B"/>
    <w:multiLevelType w:val="hybridMultilevel"/>
    <w:tmpl w:val="8EE68E50"/>
    <w:lvl w:ilvl="0" w:tplc="2DA8DE6E">
      <w:numFmt w:val="bullet"/>
      <w:lvlText w:val="-"/>
      <w:lvlJc w:val="left"/>
      <w:pPr>
        <w:ind w:left="127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79589B"/>
    <w:multiLevelType w:val="hybridMultilevel"/>
    <w:tmpl w:val="CED8C13E"/>
    <w:lvl w:ilvl="0" w:tplc="1D80175A">
      <w:start w:val="1"/>
      <w:numFmt w:val="decimal"/>
      <w:lvlText w:val="%1."/>
      <w:lvlJc w:val="left"/>
      <w:pPr>
        <w:ind w:left="177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05BCB"/>
    <w:multiLevelType w:val="hybridMultilevel"/>
    <w:tmpl w:val="E4EA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750B5"/>
    <w:multiLevelType w:val="hybridMultilevel"/>
    <w:tmpl w:val="E4EA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625DF"/>
    <w:multiLevelType w:val="hybridMultilevel"/>
    <w:tmpl w:val="82CC5CEE"/>
    <w:lvl w:ilvl="0" w:tplc="ACDCFBA4">
      <w:start w:val="2"/>
      <w:numFmt w:val="decimal"/>
      <w:lvlText w:val="%1."/>
      <w:lvlJc w:val="left"/>
      <w:pPr>
        <w:ind w:left="312" w:hanging="312"/>
      </w:pPr>
      <w:rPr>
        <w:rFonts w:hint="default"/>
        <w:spacing w:val="-4"/>
        <w:w w:val="100"/>
        <w:lang w:val="uk-UA" w:eastAsia="en-US" w:bidi="ar-SA"/>
      </w:rPr>
    </w:lvl>
    <w:lvl w:ilvl="1" w:tplc="518E2568">
      <w:numFmt w:val="none"/>
      <w:lvlText w:val=""/>
      <w:lvlJc w:val="left"/>
      <w:pPr>
        <w:tabs>
          <w:tab w:val="num" w:pos="360"/>
        </w:tabs>
      </w:pPr>
    </w:lvl>
    <w:lvl w:ilvl="2" w:tplc="92C2BA28">
      <w:numFmt w:val="bullet"/>
      <w:lvlText w:val="•"/>
      <w:lvlJc w:val="left"/>
      <w:pPr>
        <w:ind w:left="2851" w:hanging="420"/>
      </w:pPr>
      <w:rPr>
        <w:rFonts w:hint="default"/>
        <w:lang w:val="uk-UA" w:eastAsia="en-US" w:bidi="ar-SA"/>
      </w:rPr>
    </w:lvl>
    <w:lvl w:ilvl="3" w:tplc="14AC6F7C">
      <w:numFmt w:val="bullet"/>
      <w:lvlText w:val="•"/>
      <w:lvlJc w:val="left"/>
      <w:pPr>
        <w:ind w:left="3843" w:hanging="420"/>
      </w:pPr>
      <w:rPr>
        <w:rFonts w:hint="default"/>
        <w:lang w:val="uk-UA" w:eastAsia="en-US" w:bidi="ar-SA"/>
      </w:rPr>
    </w:lvl>
    <w:lvl w:ilvl="4" w:tplc="7B6683B6">
      <w:numFmt w:val="bullet"/>
      <w:lvlText w:val="•"/>
      <w:lvlJc w:val="left"/>
      <w:pPr>
        <w:ind w:left="4834" w:hanging="420"/>
      </w:pPr>
      <w:rPr>
        <w:rFonts w:hint="default"/>
        <w:lang w:val="uk-UA" w:eastAsia="en-US" w:bidi="ar-SA"/>
      </w:rPr>
    </w:lvl>
    <w:lvl w:ilvl="5" w:tplc="3FF4E1E0">
      <w:numFmt w:val="bullet"/>
      <w:lvlText w:val="•"/>
      <w:lvlJc w:val="left"/>
      <w:pPr>
        <w:ind w:left="5826" w:hanging="420"/>
      </w:pPr>
      <w:rPr>
        <w:rFonts w:hint="default"/>
        <w:lang w:val="uk-UA" w:eastAsia="en-US" w:bidi="ar-SA"/>
      </w:rPr>
    </w:lvl>
    <w:lvl w:ilvl="6" w:tplc="F1DC1164">
      <w:numFmt w:val="bullet"/>
      <w:lvlText w:val="•"/>
      <w:lvlJc w:val="left"/>
      <w:pPr>
        <w:ind w:left="6817" w:hanging="420"/>
      </w:pPr>
      <w:rPr>
        <w:rFonts w:hint="default"/>
        <w:lang w:val="uk-UA" w:eastAsia="en-US" w:bidi="ar-SA"/>
      </w:rPr>
    </w:lvl>
    <w:lvl w:ilvl="7" w:tplc="A34893F8">
      <w:numFmt w:val="bullet"/>
      <w:lvlText w:val="•"/>
      <w:lvlJc w:val="left"/>
      <w:pPr>
        <w:ind w:left="7809" w:hanging="420"/>
      </w:pPr>
      <w:rPr>
        <w:rFonts w:hint="default"/>
        <w:lang w:val="uk-UA" w:eastAsia="en-US" w:bidi="ar-SA"/>
      </w:rPr>
    </w:lvl>
    <w:lvl w:ilvl="8" w:tplc="0158C664">
      <w:numFmt w:val="bullet"/>
      <w:lvlText w:val="•"/>
      <w:lvlJc w:val="left"/>
      <w:pPr>
        <w:ind w:left="8800" w:hanging="420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1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17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04D71"/>
    <w:rsid w:val="000308C0"/>
    <w:rsid w:val="0003144E"/>
    <w:rsid w:val="00034E25"/>
    <w:rsid w:val="000A05B1"/>
    <w:rsid w:val="000A78E9"/>
    <w:rsid w:val="000C412A"/>
    <w:rsid w:val="000D567B"/>
    <w:rsid w:val="001E5722"/>
    <w:rsid w:val="001F17CA"/>
    <w:rsid w:val="00255201"/>
    <w:rsid w:val="00263F7F"/>
    <w:rsid w:val="002B3610"/>
    <w:rsid w:val="002E27DF"/>
    <w:rsid w:val="002F0907"/>
    <w:rsid w:val="0033052B"/>
    <w:rsid w:val="0034743D"/>
    <w:rsid w:val="00353E9F"/>
    <w:rsid w:val="00366A81"/>
    <w:rsid w:val="00370C82"/>
    <w:rsid w:val="00372385"/>
    <w:rsid w:val="00375913"/>
    <w:rsid w:val="00382DC5"/>
    <w:rsid w:val="00461B78"/>
    <w:rsid w:val="004816BD"/>
    <w:rsid w:val="004B76E8"/>
    <w:rsid w:val="004E3E91"/>
    <w:rsid w:val="0051722E"/>
    <w:rsid w:val="00522EDE"/>
    <w:rsid w:val="005569B8"/>
    <w:rsid w:val="0057316D"/>
    <w:rsid w:val="005858B2"/>
    <w:rsid w:val="00600CE3"/>
    <w:rsid w:val="00604715"/>
    <w:rsid w:val="00604D71"/>
    <w:rsid w:val="00634345"/>
    <w:rsid w:val="00643C32"/>
    <w:rsid w:val="006531E0"/>
    <w:rsid w:val="006676F4"/>
    <w:rsid w:val="006857D8"/>
    <w:rsid w:val="00713B29"/>
    <w:rsid w:val="00715E1E"/>
    <w:rsid w:val="00734D17"/>
    <w:rsid w:val="007C599E"/>
    <w:rsid w:val="007C6B0B"/>
    <w:rsid w:val="007E57DE"/>
    <w:rsid w:val="007F5386"/>
    <w:rsid w:val="008231D8"/>
    <w:rsid w:val="00852FA2"/>
    <w:rsid w:val="008A1F63"/>
    <w:rsid w:val="008B2C07"/>
    <w:rsid w:val="00926224"/>
    <w:rsid w:val="009363C9"/>
    <w:rsid w:val="00950DE8"/>
    <w:rsid w:val="00960524"/>
    <w:rsid w:val="00985307"/>
    <w:rsid w:val="009B68D0"/>
    <w:rsid w:val="009D24D4"/>
    <w:rsid w:val="00A003A5"/>
    <w:rsid w:val="00AF20AF"/>
    <w:rsid w:val="00B36FAF"/>
    <w:rsid w:val="00BF4DB4"/>
    <w:rsid w:val="00C168E5"/>
    <w:rsid w:val="00C66711"/>
    <w:rsid w:val="00C8587A"/>
    <w:rsid w:val="00D10011"/>
    <w:rsid w:val="00D30CEA"/>
    <w:rsid w:val="00D72313"/>
    <w:rsid w:val="00D85514"/>
    <w:rsid w:val="00D91466"/>
    <w:rsid w:val="00DC1759"/>
    <w:rsid w:val="00E35DEF"/>
    <w:rsid w:val="00F12814"/>
    <w:rsid w:val="00F40829"/>
    <w:rsid w:val="00F54CBF"/>
    <w:rsid w:val="00FC4A70"/>
    <w:rsid w:val="00FD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201"/>
  </w:style>
  <w:style w:type="paragraph" w:styleId="1">
    <w:name w:val="heading 1"/>
    <w:basedOn w:val="a0"/>
    <w:next w:val="a0"/>
    <w:link w:val="10"/>
    <w:uiPriority w:val="9"/>
    <w:qFormat/>
    <w:rsid w:val="00C16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D17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7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1"/>
    <w:link w:val="31"/>
    <w:locked/>
    <w:rsid w:val="004E3E91"/>
    <w:rPr>
      <w:b/>
      <w:bCs/>
      <w:shd w:val="clear" w:color="auto" w:fill="FFFFFF"/>
    </w:rPr>
  </w:style>
  <w:style w:type="character" w:customStyle="1" w:styleId="11">
    <w:name w:val="Заголовок №1"/>
    <w:basedOn w:val="a1"/>
    <w:rsid w:val="004E3E9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31">
    <w:name w:val="Основний текст (3)1"/>
    <w:basedOn w:val="a0"/>
    <w:link w:val="3"/>
    <w:rsid w:val="004E3E91"/>
    <w:pPr>
      <w:widowControl w:val="0"/>
      <w:shd w:val="clear" w:color="auto" w:fill="FFFFFF"/>
      <w:spacing w:after="600" w:line="240" w:lineRule="atLeast"/>
      <w:ind w:hanging="780"/>
    </w:pPr>
    <w:rPr>
      <w:b/>
      <w:bCs/>
    </w:rPr>
  </w:style>
  <w:style w:type="paragraph" w:styleId="a5">
    <w:name w:val="List Paragraph"/>
    <w:basedOn w:val="a0"/>
    <w:link w:val="a6"/>
    <w:uiPriority w:val="34"/>
    <w:qFormat/>
    <w:rsid w:val="00522EDE"/>
    <w:pPr>
      <w:ind w:left="720"/>
      <w:contextualSpacing/>
    </w:pPr>
    <w:rPr>
      <w:lang w:val="ru-RU"/>
    </w:rPr>
  </w:style>
  <w:style w:type="paragraph" w:customStyle="1" w:styleId="rvps2">
    <w:name w:val="rvps2"/>
    <w:basedOn w:val="a0"/>
    <w:rsid w:val="005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qFormat/>
    <w:locked/>
    <w:rsid w:val="00522EDE"/>
    <w:rPr>
      <w:lang w:val="ru-RU"/>
    </w:rPr>
  </w:style>
  <w:style w:type="paragraph" w:styleId="a7">
    <w:name w:val="No Spacing"/>
    <w:link w:val="a8"/>
    <w:uiPriority w:val="1"/>
    <w:qFormat/>
    <w:rsid w:val="00522EDE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styleId="a9">
    <w:name w:val="Body Text"/>
    <w:basedOn w:val="a0"/>
    <w:link w:val="aa"/>
    <w:rsid w:val="00522EDE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a">
    <w:name w:val="Основной текст Знак"/>
    <w:basedOn w:val="a1"/>
    <w:link w:val="a9"/>
    <w:rsid w:val="00522EDE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110">
    <w:name w:val="Заголовок 11"/>
    <w:basedOn w:val="a0"/>
    <w:uiPriority w:val="1"/>
    <w:qFormat/>
    <w:rsid w:val="00522EDE"/>
    <w:pPr>
      <w:widowControl w:val="0"/>
      <w:autoSpaceDE w:val="0"/>
      <w:autoSpaceDN w:val="0"/>
      <w:spacing w:after="0" w:line="240" w:lineRule="auto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b">
    <w:name w:val="Normal (Web)"/>
    <w:aliases w:val="Знак17,Знак18 Знак,Знак17 Знак1, Знак17, Знак18 Знак, Знак17 Знак1,Знак2,Обычный (веб) Знак1,Обычный (веб) Знак Знак1,Обычный (Web) Знак Знак Знак Знак,Обычный (веб) Знак Знак Знак,Обычный (веб) Знак2 Знак Знак"/>
    <w:basedOn w:val="a0"/>
    <w:link w:val="ac"/>
    <w:qFormat/>
    <w:rsid w:val="0035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c">
    <w:name w:val="Обычный (веб) Знак"/>
    <w:aliases w:val="Знак17 Знак,Знак18 Знак Знак,Знак17 Знак1 Знак, Знак17 Знак, Знак18 Знак Знак, Знак17 Знак1 Знак,Знак2 Знак,Обычный (веб) Знак1 Знак,Обычный (веб) Знак Знак1 Знак,Обычный (Web) Знак Знак Знак Знак Знак"/>
    <w:link w:val="ab"/>
    <w:uiPriority w:val="99"/>
    <w:locked/>
    <w:rsid w:val="00353E9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qFormat/>
    <w:rsid w:val="00353E9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table" w:customStyle="1" w:styleId="13">
    <w:name w:val="Сетка таблицы1"/>
    <w:basedOn w:val="a2"/>
    <w:next w:val="a4"/>
    <w:uiPriority w:val="59"/>
    <w:rsid w:val="005569B8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 (веб)2"/>
    <w:basedOn w:val="a0"/>
    <w:rsid w:val="005569B8"/>
    <w:pPr>
      <w:suppressAutoHyphens/>
      <w:spacing w:before="280" w:after="280" w:line="276" w:lineRule="auto"/>
    </w:pPr>
    <w:rPr>
      <w:rFonts w:ascii="Calibri" w:eastAsia="Calibri" w:hAnsi="Calibri" w:cs="Calibri"/>
      <w:lang w:val="uk-UA" w:eastAsia="zh-CN"/>
    </w:rPr>
  </w:style>
  <w:style w:type="paragraph" w:customStyle="1" w:styleId="ad">
    <w:name w:val="Содержимое таблицы"/>
    <w:basedOn w:val="a0"/>
    <w:rsid w:val="009363C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lang w:val="ru-RU" w:eastAsia="zh-CN"/>
    </w:rPr>
  </w:style>
  <w:style w:type="paragraph" w:customStyle="1" w:styleId="210">
    <w:name w:val="Заголовок 21"/>
    <w:basedOn w:val="a0"/>
    <w:uiPriority w:val="1"/>
    <w:qFormat/>
    <w:rsid w:val="0033052B"/>
    <w:pPr>
      <w:widowControl w:val="0"/>
      <w:autoSpaceDE w:val="0"/>
      <w:autoSpaceDN w:val="0"/>
      <w:spacing w:after="0" w:line="240" w:lineRule="auto"/>
      <w:ind w:left="23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33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310">
    <w:name w:val="Заголовок 31"/>
    <w:basedOn w:val="a0"/>
    <w:uiPriority w:val="1"/>
    <w:qFormat/>
    <w:rsid w:val="008A1F63"/>
    <w:pPr>
      <w:widowControl w:val="0"/>
      <w:autoSpaceDE w:val="0"/>
      <w:autoSpaceDN w:val="0"/>
      <w:spacing w:after="0" w:line="240" w:lineRule="auto"/>
      <w:ind w:left="1081"/>
      <w:outlineLvl w:val="3"/>
    </w:pPr>
    <w:rPr>
      <w:rFonts w:ascii="Times New Roman" w:eastAsia="Times New Roman" w:hAnsi="Times New Roman" w:cs="Times New Roman"/>
      <w:sz w:val="23"/>
      <w:szCs w:val="23"/>
      <w:lang w:val="ru-RU" w:eastAsia="ru-RU" w:bidi="ru-RU"/>
    </w:rPr>
  </w:style>
  <w:style w:type="character" w:customStyle="1" w:styleId="20">
    <w:name w:val="Заголовок 2 Знак"/>
    <w:basedOn w:val="a1"/>
    <w:link w:val="2"/>
    <w:rsid w:val="00FD17A4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5">
    <w:name w:val="Основний текст (5)_"/>
    <w:link w:val="50"/>
    <w:rsid w:val="00FD17A4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ий текст (5)"/>
    <w:basedOn w:val="a0"/>
    <w:link w:val="5"/>
    <w:rsid w:val="00FD17A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rvts0">
    <w:name w:val="rvts0"/>
    <w:uiPriority w:val="99"/>
    <w:rsid w:val="007C6B0B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C168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">
    <w:name w:val="List Bullet"/>
    <w:basedOn w:val="a0"/>
    <w:rsid w:val="00C168E5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0"/>
    <w:link w:val="af"/>
    <w:uiPriority w:val="99"/>
    <w:semiHidden/>
    <w:unhideWhenUsed/>
    <w:rsid w:val="00600CE3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600CE3"/>
    <w:rPr>
      <w:rFonts w:ascii="Segoe UI" w:hAnsi="Segoe UI" w:cs="Segoe UI"/>
      <w:sz w:val="18"/>
      <w:szCs w:val="18"/>
      <w:lang w:val="ru-RU"/>
    </w:rPr>
  </w:style>
  <w:style w:type="character" w:customStyle="1" w:styleId="a8">
    <w:name w:val="Без интервала Знак"/>
    <w:link w:val="a7"/>
    <w:uiPriority w:val="1"/>
    <w:rsid w:val="00461B78"/>
    <w:rPr>
      <w:rFonts w:ascii="Calibri" w:eastAsia="Times New Roman" w:hAnsi="Calibri" w:cs="Calibri"/>
      <w:lang w:val="ru-RU" w:eastAsia="zh-CN"/>
    </w:rPr>
  </w:style>
  <w:style w:type="character" w:customStyle="1" w:styleId="mend05rem">
    <w:name w:val="mend(0.5rem)"/>
    <w:basedOn w:val="a1"/>
    <w:rsid w:val="0046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-bid.com.ua/tender/16094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10831</Words>
  <Characters>6175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3</cp:revision>
  <dcterms:created xsi:type="dcterms:W3CDTF">2023-01-02T08:07:00Z</dcterms:created>
  <dcterms:modified xsi:type="dcterms:W3CDTF">2023-01-02T08:11:00Z</dcterms:modified>
</cp:coreProperties>
</file>