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after="0" w:line="240" w:lineRule="auto"/>
        <w:ind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Додаток №3</w:t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до тендерної документації</w:t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ПРОЄКТ</w:t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Bdr/>
        <w:tabs>
          <w:tab w:val="left" w:leader="none" w:pos="3600"/>
        </w:tabs>
        <w:spacing w:after="0" w:line="240" w:lineRule="auto"/>
        <w: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ДОГОВІР  № 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Bdr/>
        <w:tabs>
          <w:tab w:val="left" w:leader="none" w:pos="3600"/>
        </w:tabs>
        <w:spacing w:after="0" w:line="240" w:lineRule="auto"/>
        <w: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 закупівлю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Bdr/>
        <w:tabs>
          <w:tab w:val="left" w:leader="none" w:pos="3600"/>
        </w:tabs>
        <w:spacing w:after="0" w:line="240" w:lineRule="auto"/>
        <w: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Bdr/>
        <w:tabs>
          <w:tab w:val="left" w:leader="none" w:pos="3600"/>
        </w:tabs>
        <w:spacing w:after="0" w:line="240" w:lineRule="auto"/>
        <w:ind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624"/>
        <w:pBdr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 xml:space="preserve">м. </w:t>
      </w:r>
      <w:r>
        <w:rPr>
          <w:rFonts w:eastAsia="Calibri"/>
          <w:lang w:val="uk-UA"/>
        </w:rPr>
        <w:t xml:space="preserve">Хмельницький</w:t>
      </w: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</w:rPr>
        <w:t xml:space="preserve">«___» _________ 20</w:t>
      </w:r>
      <w:r>
        <w:rPr>
          <w:rFonts w:eastAsia="Calibri"/>
          <w:lang w:val="uk-UA"/>
        </w:rPr>
        <w:t xml:space="preserve">__</w:t>
      </w:r>
      <w:r>
        <w:rPr>
          <w:rFonts w:eastAsia="Calibri"/>
        </w:rPr>
        <w:t xml:space="preserve"> р.</w:t>
      </w:r>
      <w:r>
        <w:rPr>
          <w:rFonts w:eastAsia="Calibri"/>
        </w:rPr>
      </w:r>
    </w:p>
    <w:p>
      <w:pPr>
        <w:pStyle w:val="624"/>
        <w:pBdr/>
        <w:spacing w:after="0" w:line="240" w:lineRule="auto"/>
        <w:ind w:left="0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pStyle w:val="630"/>
        <w:pBdr/>
        <w:spacing/>
        <w:ind/>
        <w:jc w:val="both"/>
        <w:rPr>
          <w:b/>
          <w:bCs/>
          <w:spacing w:val="-3"/>
          <w:lang w:val="uk-UA"/>
        </w:rPr>
      </w:pPr>
      <w:r>
        <w:rPr>
          <w:b/>
          <w:color w:val="000000" w:themeColor="text1"/>
          <w:shd w:val="clear" w:color="auto" w:fill="ffffff"/>
        </w:rPr>
        <w:t xml:space="preserve">Центр </w:t>
      </w:r>
      <w:r>
        <w:rPr>
          <w:b/>
          <w:color w:val="000000" w:themeColor="text1"/>
          <w:shd w:val="clear" w:color="auto" w:fill="ffffff"/>
        </w:rPr>
        <w:t xml:space="preserve">соц</w:t>
      </w:r>
      <w:r>
        <w:rPr>
          <w:b/>
          <w:color w:val="000000" w:themeColor="text1"/>
          <w:shd w:val="clear" w:color="auto" w:fill="ffffff"/>
        </w:rPr>
        <w:t xml:space="preserve">іально-психологічної</w:t>
      </w:r>
      <w:r>
        <w:rPr>
          <w:b/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 xml:space="preserve">реабілітації</w:t>
      </w:r>
      <w:r>
        <w:rPr>
          <w:b/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 xml:space="preserve">дітей</w:t>
      </w:r>
      <w:r>
        <w:rPr>
          <w:b/>
          <w:color w:val="000000" w:themeColor="text1"/>
          <w:shd w:val="clear" w:color="auto" w:fill="ffffff"/>
        </w:rPr>
        <w:t xml:space="preserve"> «</w:t>
      </w:r>
      <w:r>
        <w:rPr>
          <w:b/>
          <w:color w:val="000000" w:themeColor="text1"/>
          <w:shd w:val="clear" w:color="auto" w:fill="ffffff"/>
        </w:rPr>
        <w:t xml:space="preserve">Подолянчик</w:t>
      </w:r>
      <w:r>
        <w:rPr>
          <w:b/>
          <w:color w:val="000000" w:themeColor="text1"/>
          <w:shd w:val="clear" w:color="auto" w:fill="ffffff"/>
        </w:rPr>
        <w:t xml:space="preserve">»,  </w:t>
      </w:r>
      <w:r>
        <w:rPr>
          <w:color w:val="000000" w:themeColor="text1"/>
          <w:shd w:val="clear" w:color="auto" w:fill="ffffff"/>
        </w:rPr>
        <w:t xml:space="preserve">в </w:t>
      </w:r>
      <w:r>
        <w:rPr>
          <w:color w:val="000000" w:themeColor="text1"/>
          <w:shd w:val="clear" w:color="auto" w:fill="ffffff"/>
        </w:rPr>
        <w:t xml:space="preserve">особі</w:t>
      </w:r>
      <w:r>
        <w:rPr>
          <w:color w:val="000000" w:themeColor="text1"/>
          <w:shd w:val="clear" w:color="auto" w:fill="ffffff"/>
        </w:rPr>
        <w:t xml:space="preserve"> директора</w:t>
      </w:r>
      <w:r>
        <w:rPr>
          <w:b/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Гаврішка</w:t>
      </w:r>
      <w:r>
        <w:rPr>
          <w:color w:val="000000" w:themeColor="text1"/>
          <w:shd w:val="clear" w:color="auto" w:fill="ffffff"/>
        </w:rPr>
        <w:t xml:space="preserve"> Вадима </w:t>
      </w:r>
      <w:r>
        <w:rPr>
          <w:color w:val="000000" w:themeColor="text1"/>
          <w:shd w:val="clear" w:color="auto" w:fill="ffffff"/>
        </w:rPr>
        <w:t xml:space="preserve">Дмитровича</w:t>
      </w:r>
      <w:r>
        <w:rPr>
          <w:bCs/>
          <w:spacing w:val="-3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lang w:val="uk-UA"/>
        </w:rPr>
        <w:t xml:space="preserve">що діє на підставі _____________ (далі Замовник), з однієї сторони, і _________________________________ (далі</w:t>
      </w:r>
      <w:r>
        <w:rPr>
          <w:bCs/>
          <w:lang w:val="uk-UA"/>
        </w:rPr>
        <w:t xml:space="preserve"> Постачальник</w:t>
      </w:r>
      <w:r>
        <w:rPr>
          <w:lang w:val="uk-UA"/>
        </w:rPr>
        <w:t xml:space="preserve">), що є суб’єктом __________________ </w:t>
      </w:r>
      <w:r>
        <w:rPr>
          <w:i/>
          <w:lang w:val="uk-UA"/>
        </w:rPr>
        <w:t xml:space="preserve">(</w:t>
      </w:r>
      <w:r>
        <w:rPr>
          <w:i/>
          <w:lang w:val="uk-UA"/>
        </w:rPr>
        <w:t xml:space="preserve">мікро-</w:t>
      </w:r>
      <w:r>
        <w:rPr>
          <w:i/>
          <w:lang w:val="uk-UA"/>
        </w:rPr>
        <w:t xml:space="preserve">, малого, середнього, великого)</w:t>
      </w:r>
      <w:r>
        <w:rPr>
          <w:lang w:val="uk-UA"/>
        </w:rPr>
        <w:t xml:space="preserve"> підприємництва в особі _________________________, що діє на підставі _________________з іншої сторони, разом - Сторони, уклали цей договір про наступне (далі - Договір):</w:t>
      </w:r>
      <w:r>
        <w:rPr>
          <w:b/>
          <w:bCs/>
          <w:spacing w:val="-3"/>
          <w:lang w:val="uk-UA"/>
        </w:rPr>
      </w:r>
    </w:p>
    <w:p>
      <w:pPr>
        <w:pStyle w:val="626"/>
        <w:pBdr/>
        <w:spacing w:after="0" w:line="240" w:lineRule="auto"/>
        <w:ind w:left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numPr>
          <w:ilvl w:val="0"/>
          <w:numId w:val="1"/>
        </w:numPr>
        <w:pBdr/>
        <w:spacing w:after="0" w:line="240" w:lineRule="auto"/>
        <w:ind w:firstLine="0"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ДОГОВОРУ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Постачальник зобов’язується надати Замовнику товар 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Морква, цибуля, капуста, б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уряк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часник, яблука, банан, апельсин, мандарин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, помідори, огірки, перець, слива, абрикос, полуниця, редиска, персик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згідно з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код ДК 021:2015-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03220000-9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Овочі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фрукти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та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горіхи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(далі «Товар» або «Товари») відповідно до специфікації (Додаток № 1), яка є невід‘ємною частиною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Обсяги закупівлі товару можуть бути зменшені з урахуванням фактичного обсягу видатків Замовника.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Місце поставки товару: </w:t>
      </w:r>
      <w:r>
        <w:rPr>
          <w:rFonts w:ascii="Times New Roman" w:hAnsi="Times New Roman"/>
          <w:bCs/>
          <w:sz w:val="24"/>
          <w:szCs w:val="24"/>
        </w:rPr>
        <w:t xml:space="preserve">29021, м. Хмельницький, вул. І.Сірка, 5/1.</w:t>
      </w:r>
      <w:r>
        <w:rPr>
          <w:rFonts w:ascii="Times New Roman" w:hAnsi="Times New Roman"/>
          <w:bCs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Поставка товару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проводиться </w:t>
      </w:r>
      <w:r>
        <w:rPr>
          <w:rFonts w:ascii="Times New Roman" w:hAnsi="Times New Roman"/>
          <w:sz w:val="24"/>
          <w:szCs w:val="24"/>
        </w:rPr>
        <w:t xml:space="preserve">згідно заявок Замовника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Строк поставки товару: до 31 грудня 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року.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</w:t>
      </w:r>
      <w:r>
        <w:rPr>
          <w:rFonts w:ascii="Times New Roman" w:hAnsi="Times New Roman"/>
          <w:sz w:val="24"/>
          <w:szCs w:val="24"/>
          <w:lang w:eastAsia="zh-CN"/>
        </w:rPr>
        <w:t xml:space="preserve"> Товар повинен постачатися у спеціальному автотранспорті.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ЯКІСТЬ ТОВАРІВ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Постачальник повинен поставити Замовнику товар, передбачений цим Договором, якість якого відповідає державним стандартам, та підтверджується відповідною супроводжувальною документацією.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Постачальник гарантує належну якість товару згідно з технічними вимогами Замовника (їх відповідність сучасному рівню вимог, технологій та стандартів, існуючих в Україні, умовам цього Договору).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Постачальник зобов’язується поставити товар у асортименті, якості та кількості відповідно до чинного законодавства України та технічних вимог до предмету закупівлі.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У разі надання товару неналежної якості або товару, що не відповідає умовам цього Договору, Постачальник зобов'язується за власний рахунок у термін 2 (два</w:t>
      </w:r>
      <w:r>
        <w:rPr>
          <w:rFonts w:ascii="Times New Roman" w:hAnsi="Times New Roman"/>
          <w:sz w:val="24"/>
          <w:szCs w:val="24"/>
        </w:rPr>
        <w:t xml:space="preserve">)  робочі</w:t>
      </w:r>
      <w:r>
        <w:rPr>
          <w:rFonts w:ascii="Times New Roman" w:hAnsi="Times New Roman"/>
          <w:sz w:val="24"/>
          <w:szCs w:val="24"/>
        </w:rPr>
        <w:t xml:space="preserve"> дні з дати складення Сторонами Акту про виявлені порушення, усунути всі недоліки або привести їх результати у відповідність з вимогами цього Договору.  </w:t>
      </w:r>
      <w:r>
        <w:rPr>
          <w:rFonts w:ascii="Times New Roman" w:hAnsi="Times New Roman"/>
          <w:sz w:val="24"/>
          <w:szCs w:val="24"/>
        </w:rPr>
      </w:r>
    </w:p>
    <w:p>
      <w:pPr>
        <w:widowControl w:val="false"/>
        <w:pBdr/>
        <w:tabs>
          <w:tab w:val="left" w:leader="none" w:pos="709"/>
        </w:tabs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2.5. Строк придатності товарів на день поставки має становити </w:t>
      </w:r>
      <w:r>
        <w:rPr>
          <w:rFonts w:ascii="Times New Roman" w:hAnsi="Times New Roman"/>
          <w:sz w:val="24"/>
          <w:szCs w:val="24"/>
          <w:lang w:eastAsia="zh-CN"/>
        </w:rPr>
        <w:t xml:space="preserve">не менше 8</w:t>
      </w:r>
      <w:r>
        <w:rPr>
          <w:rFonts w:ascii="Times New Roman" w:hAnsi="Times New Roman"/>
          <w:sz w:val="24"/>
          <w:szCs w:val="24"/>
          <w:lang w:eastAsia="zh-CN"/>
        </w:rPr>
        <w:t xml:space="preserve">0% від</w:t>
      </w:r>
      <w:r>
        <w:rPr>
          <w:rFonts w:ascii="Times New Roman" w:hAnsi="Times New Roman"/>
          <w:sz w:val="24"/>
          <w:szCs w:val="24"/>
          <w:lang w:eastAsia="zh-CN"/>
        </w:rPr>
        <w:t xml:space="preserve"> загального терміну придатності.</w:t>
      </w: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eastAsia="Arial Unicode MS"/>
          <w:sz w:val="24"/>
          <w:szCs w:val="24"/>
          <w:lang w:eastAsia="hi-IN" w:bidi="hi-IN"/>
        </w:rPr>
      </w:pP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2.6.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Поставка Товару здійснюється в упаковці, придатній для її транспортування, і такій, що відповідає встановленим в Україні вимогам і забезпечує, за умови належного поводження з Товаром, схоронність Товару під час транспортування, розвантаження та збереження.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ЦІНА ДОГОВОРУ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Загальна ціна цього Договору становить __________ грн. ( ______________грн. ____ коп.), у т.ч. ПДВ/без ПДВ </w:t>
      </w:r>
      <w:r>
        <w:rPr>
          <w:rFonts w:ascii="Times New Roman" w:hAnsi="Times New Roman"/>
          <w:i/>
          <w:sz w:val="24"/>
          <w:szCs w:val="24"/>
        </w:rPr>
        <w:t xml:space="preserve">(вказати), </w:t>
      </w:r>
      <w:r>
        <w:rPr>
          <w:rFonts w:ascii="Times New Roman" w:hAnsi="Times New Roman"/>
          <w:sz w:val="24"/>
          <w:szCs w:val="24"/>
        </w:rPr>
        <w:t xml:space="preserve"> у т.ч.: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рахунок коштів місцевого бюджету __________ грн. у т.ч. ПДВ/без ПДВ </w:t>
      </w:r>
      <w:r>
        <w:rPr>
          <w:rFonts w:ascii="Times New Roman" w:hAnsi="Times New Roman"/>
          <w:i/>
          <w:sz w:val="24"/>
          <w:szCs w:val="24"/>
        </w:rPr>
        <w:t xml:space="preserve">(вказує Замовник).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3.2. Ціну  розраховано з урахуванням строку та обсягу надання Товарів за цим Договором, усіх супутніх послуг та усіх обов’язкових податків, зборів і платежів.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ПОРЯДОК ЗДІЙСНЕННЯ ОПЛАТИ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 xml:space="preserve">Джерело фінансування –кошти місцевого бюджету.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передбачена п. 3.1. цього Д</w:t>
      </w:r>
      <w:r>
        <w:rPr>
          <w:rFonts w:ascii="Times New Roman" w:hAnsi="Times New Roman"/>
          <w:sz w:val="24"/>
          <w:szCs w:val="24"/>
        </w:rPr>
        <w:t xml:space="preserve">оговору,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днів, згідно наданих Постачальником накладних за наявності фінансування, але не пізніше 31 грудня 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року.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ПРАВА ТА ОБОВ’ЯЗКИ СТОРІН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Замовник зобов’язаний: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 Своєчасно та в повному обсязі оплатити Товар, належним чином наданий Постачальником в порядку та на умовах, визначених цим Договором на підставі накладної.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Приймати Товари згідно з умовами цього Договору та накладної.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Замовник має право: </w:t>
      </w:r>
      <w:r>
        <w:rPr>
          <w:rFonts w:ascii="Times New Roman" w:hAnsi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Достроково в односторонньому порядку розірвати цей Договір у разі невиконання зобов'язань Постачальником, повідомивши про це його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не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пізніше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, як за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10 (десять)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календарних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днів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  випадках: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widowControl w:val="false"/>
        <w:pBdr/>
        <w:tabs>
          <w:tab w:val="left" w:leader="none" w:pos="993"/>
        </w:tabs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невиконання заявки на  поставку товару, наданої Замовником. Невиконанням заявки на поставку товару є затримка з поставкою товару на один календарний день, яка засвідчена актом, за підписом представників Замовника і Постачальника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відсутність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доказів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поставки товару у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визначений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строк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Постачальником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після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отримання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ним заявки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від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Замовника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widowControl w:val="false"/>
        <w:pBdr/>
        <w:tabs>
          <w:tab w:val="left" w:leader="none" w:pos="993"/>
        </w:tabs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невідповідності якості поставленого товару умовам розділу 2 даного договору;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widowControl w:val="false"/>
        <w:pBdr/>
        <w:tabs>
          <w:tab w:val="left" w:leader="none" w:pos="993"/>
        </w:tabs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систематичне (більше ніж двічі) не надання документів, які підтверджують якість товару, відповідно до розділу 2 даного договору.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Відмовитися від прийняття товару, що не відповідають умовам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 На відшкодування завданих йому прямих, документально підтверджених збитків, відповідно до чинного законодавства України та умов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Постачальник зобов'язаний: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5.3.1. Забезпечити надання товару у строк та в порядку, що встановлені цим Договором.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5.3.2. Забезпечити надання Товару, якість якого відповідає умовам, встановленим цим Договором.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5.3.3. Сплатити штрафн</w:t>
      </w:r>
      <w:r>
        <w:rPr>
          <w:rFonts w:ascii="Times New Roman" w:hAnsi="Times New Roman"/>
          <w:sz w:val="24"/>
          <w:szCs w:val="24"/>
        </w:rPr>
        <w:t xml:space="preserve">і санкції і відшкодувати збитки в разі невиконання, або неналежного виконання зобов`язань за цим Договором, у розмірі подвійної облікової ставки НБУ на дату виникнення обставин, якщо виконавець не доведе, що порушення цього Договору сталося не з його вини.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5.3.4. Сплатити податки і збори згідно діючого законодавства України.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5.3.5. Здійснити доставку, розвантаження товару, вартість включається в ціну пропозиції.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5.3.6. Забезпечити упаковку товарів, щоб забезпечувати їх захист від зовнішнього впливу та збереженість при транспортуванні.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5.3.7. Надати  супровідні документи на Товари.</w:t>
      </w:r>
      <w:r>
        <w:rPr>
          <w:rFonts w:ascii="Times New Roman" w:hAnsi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contextualSpacing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5.3.8. Надати накладну на Товари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що відповідає специфікації, у 3 примірниках. Накладна має відповідати п. 1.1.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Постачальник має право своєчасно та в повному обсязі отримати плату за Товари відповідно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Style w:val="624"/>
        <w:pBdr/>
        <w:spacing w:after="0" w:line="240" w:lineRule="auto"/>
        <w:ind w:left="0"/>
        <w:jc w:val="center"/>
        <w:rPr>
          <w:rFonts w:eastAsia="Calibri"/>
          <w:sz w:val="18"/>
          <w:lang w:val="uk-UA"/>
        </w:rPr>
      </w:pPr>
      <w:r>
        <w:rPr>
          <w:rFonts w:eastAsia="Calibri"/>
          <w:sz w:val="18"/>
          <w:lang w:val="uk-UA"/>
        </w:rPr>
      </w:r>
      <w:r>
        <w:rPr>
          <w:rFonts w:eastAsia="Calibri"/>
          <w:sz w:val="18"/>
          <w:lang w:val="uk-UA"/>
        </w:rPr>
      </w:r>
    </w:p>
    <w:p>
      <w:pPr>
        <w:pStyle w:val="624"/>
        <w:pBdr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6. ВІДПОВІДАЛЬНІСТЬ СТОРІН ТА ВИРІШЕННЯ СПОРІ</w:t>
      </w:r>
      <w:r>
        <w:rPr>
          <w:rFonts w:eastAsia="Calibri"/>
          <w:b/>
        </w:rPr>
        <w:t xml:space="preserve">В</w:t>
      </w:r>
      <w:r>
        <w:rPr>
          <w:rFonts w:eastAsia="Calibri"/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У разі невиконання або неналежного виконання своїх зобов'язань за цим Договором Сторони несуть відповідальність, пере</w:t>
      </w:r>
      <w:r>
        <w:rPr>
          <w:rFonts w:ascii="Times New Roman" w:hAnsi="Times New Roman"/>
          <w:sz w:val="24"/>
          <w:szCs w:val="24"/>
        </w:rPr>
        <w:t xml:space="preserve">дбачену чинним законодавством України та цим Договором. У разі порушення строків поставки товару за цим договором замовник має право стягнути з постачальника пеню в розмірі 0,5% від суми не поставленого (недопоставленого) товару за кожен день прострочення.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6.2. У разі невиконання Постачальником своїх зобов’язань по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Замовник має право розірвати Договір в односторонньому порядку,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повідомивши про це його у 10-денний строк</w:t>
      </w:r>
      <w:r>
        <w:rPr>
          <w:rFonts w:ascii="Times New Roman" w:hAnsi="Times New Roman" w:eastAsia="Arial Unicode MS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будь-</w:t>
      </w:r>
      <w:r>
        <w:rPr>
          <w:rFonts w:ascii="Times New Roman" w:hAnsi="Times New Roman"/>
          <w:sz w:val="24"/>
          <w:szCs w:val="24"/>
          <w:lang w:val="ru-RU"/>
        </w:rPr>
        <w:t xml:space="preserve">яким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засобом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поштою</w:t>
      </w:r>
      <w:r>
        <w:rPr>
          <w:rFonts w:ascii="Times New Roman" w:hAnsi="Times New Roman"/>
          <w:sz w:val="24"/>
          <w:szCs w:val="24"/>
          <w:lang w:val="ru-RU"/>
        </w:rPr>
        <w:t xml:space="preserve">, факсом, </w:t>
      </w:r>
      <w:r>
        <w:rPr>
          <w:rFonts w:ascii="Times New Roman" w:hAnsi="Times New Roman"/>
          <w:sz w:val="24"/>
          <w:szCs w:val="24"/>
          <w:lang w:val="ru-RU"/>
        </w:rPr>
        <w:t xml:space="preserve">електронною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поштою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тощо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 xml:space="preserve">вказаними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тендерній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документації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ПОРЯДОК ВИРІШЕННЯ СПОРІВ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У випадку виникнення спорів або розбіжностей Сторони зобов’язуються вирішувати їх шляхом взаємних переговорів та консультацій.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У разі недосягнення Сторонами згоди спори (розбіжності) вирішуються у судовому порядку відповідно до чинного законодавства України.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ОБСТАВИНИ НЕПЕРЕБОРНОЇ СИЛИ (ФОРС-МАЖОР)</w:t>
      </w:r>
      <w:r>
        <w:rPr>
          <w:rFonts w:ascii="Times New Roman" w:hAnsi="Times New Roman"/>
          <w:b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н</w:t>
      </w:r>
      <w:r>
        <w:rPr>
          <w:rFonts w:ascii="Times New Roman" w:hAnsi="Times New Roman"/>
          <w:sz w:val="24"/>
          <w:szCs w:val="24"/>
        </w:rPr>
        <w:t xml:space="preserve">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</w:rPr>
        <w:t xml:space="preserve">Доказом виникнення обставин непереборної сили (форс-мажору) та строку їх дії є сертифікат, виданий Торгово-Промисловою палатою України. Неповідомлення або невчасне повідомлення позбавляє Сторону права посилатися на будь-яке</w:t>
      </w:r>
      <w:r>
        <w:rPr>
          <w:rFonts w:ascii="Times New Roman" w:hAnsi="Times New Roman"/>
          <w:sz w:val="24"/>
          <w:szCs w:val="24"/>
        </w:rPr>
        <w:t xml:space="preserve"> вищезгадане як на підставу, звільнення від відповідальності  за невиконання зобов’язань.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</w:t>
      </w:r>
      <w:r>
        <w:rPr>
          <w:rFonts w:ascii="Times New Roman" w:hAnsi="Times New Roman"/>
          <w:sz w:val="24"/>
          <w:szCs w:val="24"/>
        </w:rPr>
      </w:r>
    </w:p>
    <w:p>
      <w:pPr>
        <w:pStyle w:val="629"/>
        <w:pBdr/>
        <w:spacing/>
        <w:ind/>
        <w:rPr>
          <w:color w:val="auto"/>
          <w:sz w:val="18"/>
          <w:szCs w:val="24"/>
        </w:rPr>
      </w:pPr>
      <w:r>
        <w:rPr>
          <w:color w:val="auto"/>
          <w:sz w:val="18"/>
          <w:szCs w:val="24"/>
        </w:rPr>
      </w:r>
      <w:r>
        <w:rPr>
          <w:color w:val="auto"/>
          <w:sz w:val="18"/>
          <w:szCs w:val="24"/>
        </w:rPr>
      </w:r>
    </w:p>
    <w:p>
      <w:pPr>
        <w:pBdr/>
        <w:spacing w:after="0" w:line="240" w:lineRule="auto"/>
        <w:ind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СТРОК ДІЇ ДОГОВОРУ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Цей </w:t>
      </w:r>
      <w:r>
        <w:rPr>
          <w:rFonts w:ascii="Times New Roman" w:hAnsi="Times New Roman"/>
          <w:sz w:val="24"/>
          <w:szCs w:val="24"/>
          <w:lang w:eastAsia="uk-UA"/>
        </w:rPr>
        <w:t xml:space="preserve">Договір набуває чинності з дати підписання уповноваженими представниками Сторін і діє до «31» грудня  202</w:t>
      </w:r>
      <w:r>
        <w:rPr>
          <w:rFonts w:ascii="Times New Roman" w:hAnsi="Times New Roman"/>
          <w:sz w:val="24"/>
          <w:szCs w:val="24"/>
          <w:lang w:eastAsia="uk-UA"/>
        </w:rPr>
        <w:t xml:space="preserve">4</w:t>
      </w:r>
      <w:r>
        <w:rPr>
          <w:rFonts w:ascii="Times New Roman" w:hAnsi="Times New Roman"/>
          <w:sz w:val="24"/>
          <w:szCs w:val="24"/>
          <w:lang w:eastAsia="uk-UA"/>
        </w:rPr>
        <w:t xml:space="preserve"> року, а в фінансових зобов'язаннях - до повного виконання обов’язків сторонами.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Цей Договір укладається і підписується українською мовою у двох автентичних примірниках, що мають однакову юридичну силу, по одному для кожної із сторін. 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Цей Договір може бути розірваний за взаємною згодою Сторін шляхом укладення додаткової угоди до цього Договору. 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  <w:r>
        <w:rPr>
          <w:rFonts w:ascii="Times New Roman" w:hAnsi="Times New Roman"/>
          <w:sz w:val="18"/>
          <w:szCs w:val="24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10. Конфіденційність інформації</w:t>
      </w:r>
      <w:r>
        <w:rPr>
          <w:rFonts w:ascii="Times New Roman" w:hAnsi="Times New Roman"/>
          <w:b/>
          <w:caps/>
          <w:sz w:val="24"/>
          <w:szCs w:val="24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iCs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10.1.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Кожна із Сторін зобов'язана забезпечити збереження конфіденційної </w:t>
      </w:r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інформації, отриманої при виконанні цього Договору, і вжити всі належні заходи щодо її </w:t>
      </w:r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мають відношення до цього Договору, її опублікування або розголошення іншими </w:t>
      </w:r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шляхами і засобами можуть мати місце тільки за письмовою згодою Сторін, незалежно від </w:t>
      </w:r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причин і строку припинення дії цього Договору, крім випадків, які передбачені чинним </w:t>
      </w:r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законодавством України. Відповідальність Сторін за порушення положення цього пункту </w:t>
      </w:r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визначається і вирішується згідно з чинним законодавством України.</w:t>
      </w:r>
      <w:r>
        <w:rPr>
          <w:rFonts w:ascii="Times New Roman" w:hAnsi="Times New Roman"/>
          <w:iCs/>
          <w:spacing w:val="-1"/>
          <w:sz w:val="24"/>
          <w:szCs w:val="24"/>
          <w:lang w:eastAsia="zh-CN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</w:rPr>
        <w:t xml:space="preserve">10.2. </w:t>
      </w:r>
      <w:r>
        <w:rPr>
          <w:rFonts w:ascii="Times New Roman" w:hAnsi="Times New Roman"/>
          <w:sz w:val="24"/>
          <w:szCs w:val="24"/>
          <w:lang w:eastAsia="uk-UA"/>
        </w:rPr>
        <w:t xml:space="preserve">Сторона договору, яка в</w:t>
      </w:r>
      <w:r>
        <w:rPr>
          <w:rFonts w:ascii="Times New Roman" w:hAnsi="Times New Roman"/>
          <w:sz w:val="24"/>
          <w:szCs w:val="24"/>
          <w:lang w:eastAsia="uk-UA"/>
        </w:rPr>
        <w:t xml:space="preserve">важає за необхідне змінити або розірвати договір, повинна надіслати пропозиції про це другій стороні за договором на електронну адресу або на поштову адресу Замовника або Постачальника, визначену у реквізитах цього Договору, з повідомленням про отримання. </w:t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Сторона договору, яка одержала пропозицію про зміну </w:t>
      </w:r>
      <w:r>
        <w:rPr>
          <w:rFonts w:ascii="Times New Roman" w:hAnsi="Times New Roman"/>
          <w:sz w:val="24"/>
          <w:szCs w:val="24"/>
          <w:lang w:eastAsia="uk-UA"/>
        </w:rPr>
        <w:t xml:space="preserve">чи розірвання договору, у деся</w:t>
      </w:r>
      <w:r>
        <w:rPr>
          <w:rFonts w:ascii="Times New Roman" w:hAnsi="Times New Roman"/>
          <w:sz w:val="24"/>
          <w:szCs w:val="24"/>
          <w:lang w:eastAsia="uk-UA"/>
        </w:rPr>
        <w:t xml:space="preserve">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або дата отримання</w:t>
      </w:r>
      <w:r>
        <w:rPr>
          <w:rFonts w:ascii="Times New Roman" w:hAnsi="Times New Roman"/>
          <w:sz w:val="24"/>
          <w:szCs w:val="24"/>
          <w:lang w:eastAsia="uk-UA"/>
        </w:rPr>
        <w:t xml:space="preserve">,</w:t>
      </w:r>
      <w:r>
        <w:rPr>
          <w:rFonts w:ascii="Times New Roman" w:hAnsi="Times New Roman"/>
          <w:sz w:val="24"/>
          <w:szCs w:val="24"/>
          <w:lang w:eastAsia="uk-UA"/>
        </w:rPr>
        <w:t xml:space="preserve"> визначена у повідомлені про отримання.</w:t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pacing w:after="0" w:line="240" w:lineRule="auto"/>
        <w:ind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</w:t>
      </w:r>
      <w:r>
        <w:rPr>
          <w:rFonts w:ascii="Times New Roman" w:hAnsi="Times New Roman"/>
          <w:sz w:val="24"/>
          <w:szCs w:val="24"/>
          <w:lang w:eastAsia="uk-UA"/>
        </w:rPr>
        <w:t xml:space="preserve">звернутися до</w:t>
      </w:r>
      <w:r>
        <w:rPr>
          <w:rFonts w:ascii="Times New Roman" w:hAnsi="Times New Roman"/>
          <w:sz w:val="24"/>
          <w:szCs w:val="24"/>
          <w:lang w:eastAsia="uk-UA"/>
        </w:rPr>
        <w:t xml:space="preserve"> суду.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рішенням суду.</w:t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Будь-які зміни або доповнення до цього Договору вносяться виключно в письмовій формі у вигляді додаткових угод.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пунктом 19 Особливостей, а саме: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зменшення обсягів закупівлі, зокрема з урахуванням фактичного обсягу видатків замовника;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</w:t>
      </w:r>
      <w:r>
        <w:rPr>
          <w:rFonts w:ascii="Times New Roman" w:hAnsi="Times New Roman"/>
          <w:sz w:val="24"/>
          <w:szCs w:val="24"/>
        </w:rPr>
        <w:t xml:space="preserve">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</w:t>
      </w:r>
      <w:r>
        <w:rPr>
          <w:rFonts w:ascii="Times New Roman" w:hAnsi="Times New Roman"/>
          <w:sz w:val="24"/>
          <w:szCs w:val="24"/>
        </w:rPr>
        <w:t xml:space="preserve">иницю 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  <w:bookmarkStart w:id="0" w:name="n512"/>
      <w:r/>
      <w:bookmarkEnd w:id="0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покращення якості предмета закупівлі за умови, що таке покращення не призведе до збільшення суми, визначеної в договорі про закупівлю;</w:t>
      </w:r>
      <w:bookmarkStart w:id="1" w:name="n513"/>
      <w:r/>
      <w:bookmarkEnd w:id="1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</w:t>
      </w:r>
      <w:r>
        <w:rPr>
          <w:rFonts w:ascii="Times New Roman" w:hAnsi="Times New Roman"/>
          <w:sz w:val="24"/>
          <w:szCs w:val="24"/>
        </w:rPr>
        <w:t xml:space="preserve">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  <w:bookmarkStart w:id="2" w:name="n514"/>
      <w:r/>
      <w:bookmarkEnd w:id="2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погодження зміни ціни в договорі про закупівлю в бік зменшення (без зміни кількості (обсягу) та якості товарів, робіт і послуг);</w:t>
      </w:r>
      <w:bookmarkStart w:id="3" w:name="n515"/>
      <w:r/>
      <w:bookmarkEnd w:id="3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</w:t>
      </w:r>
      <w:r>
        <w:rPr>
          <w:rFonts w:ascii="Times New Roman" w:hAnsi="Times New Roman"/>
          <w:sz w:val="24"/>
          <w:szCs w:val="24"/>
        </w:rPr>
        <w:t xml:space="preserve">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  <w:bookmarkStart w:id="4" w:name="n516"/>
      <w:r/>
      <w:bookmarkEnd w:id="4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>
        <w:rPr>
          <w:rFonts w:ascii="Times New Roman" w:hAnsi="Times New Roman"/>
          <w:sz w:val="24"/>
          <w:szCs w:val="24"/>
        </w:rPr>
        <w:t xml:space="preserve">Platts</w:t>
      </w:r>
      <w:r>
        <w:rPr>
          <w:rFonts w:ascii="Times New Roman" w:hAnsi="Times New Roman"/>
          <w:sz w:val="24"/>
          <w:szCs w:val="24"/>
        </w:rPr>
        <w:t xml:space="preserve"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  <w:bookmarkStart w:id="5" w:name="n517"/>
      <w:r/>
      <w:bookmarkEnd w:id="5"/>
      <w:r/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зміни умов у зв’язку із застосуванням положень </w:t>
      </w:r>
      <w:hyperlink r:id="rId9" w:tooltip="https://zakon.rada.gov.ua/laws/show/922-19#n1778" w:anchor="n1778" w:history="1">
        <w:r>
          <w:rPr>
            <w:rStyle w:val="632"/>
            <w:rFonts w:ascii="Times New Roman" w:hAnsi="Times New Roman"/>
            <w:color w:val="auto"/>
            <w:sz w:val="24"/>
            <w:szCs w:val="24"/>
            <w:u w:val="none"/>
          </w:rPr>
          <w:t xml:space="preserve">частини шостої</w:t>
        </w:r>
      </w:hyperlink>
      <w:r>
        <w:rPr>
          <w:rFonts w:ascii="Times New Roman" w:hAnsi="Times New Roman"/>
          <w:sz w:val="24"/>
          <w:szCs w:val="24"/>
        </w:rPr>
        <w:t xml:space="preserve"> статті 41 Закону України «Про публічні закупівлі».</w:t>
      </w:r>
      <w:r>
        <w:rPr>
          <w:rFonts w:ascii="Times New Roman" w:hAnsi="Times New Roman"/>
          <w:sz w:val="24"/>
          <w:szCs w:val="24"/>
        </w:rPr>
      </w:r>
    </w:p>
    <w:p>
      <w:pPr>
        <w:pBdr/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11. ДОДАТКИ ДО ДОГОВОРУ</w:t>
      </w:r>
      <w:r>
        <w:rPr>
          <w:rFonts w:ascii="Times New Roman" w:hAnsi="Times New Roman"/>
          <w:b/>
          <w:sz w:val="24"/>
          <w:szCs w:val="24"/>
          <w:lang w:eastAsia="uk-UA"/>
        </w:rPr>
      </w:r>
    </w:p>
    <w:p>
      <w:pPr>
        <w:pBdr/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</w:t>
      </w:r>
      <w:r>
        <w:rPr>
          <w:rFonts w:ascii="Times New Roman" w:hAnsi="Times New Roman"/>
          <w:sz w:val="24"/>
          <w:szCs w:val="24"/>
          <w:lang w:eastAsia="uk-UA"/>
        </w:rPr>
        <w:tab/>
        <w:t xml:space="preserve">Додаток № 1 - Специфікація товару. Додаток до Договору є його невід'ємною частиною.</w:t>
      </w:r>
      <w:r>
        <w:rPr>
          <w:rFonts w:ascii="Times New Roman" w:hAnsi="Times New Roman"/>
          <w:sz w:val="24"/>
          <w:szCs w:val="24"/>
          <w:lang w:eastAsia="uk-UA"/>
        </w:rPr>
      </w:r>
    </w:p>
    <w:p>
      <w:pPr>
        <w:pBdr/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28"/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both"/>
        <w:rPr>
          <w:sz w:val="10"/>
          <w:szCs w:val="24"/>
        </w:rPr>
      </w:pPr>
      <w:r>
        <w:rPr>
          <w:sz w:val="10"/>
          <w:szCs w:val="24"/>
        </w:rPr>
      </w:r>
      <w:r>
        <w:rPr>
          <w:sz w:val="10"/>
          <w:szCs w:val="24"/>
        </w:rPr>
      </w:r>
    </w:p>
    <w:p>
      <w:pPr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Місцезнаходження та банківські реквізити сторін</w:t>
      </w:r>
      <w:r>
        <w:rPr>
          <w:rFonts w:ascii="Times New Roman" w:hAnsi="Times New Roman"/>
          <w:b/>
          <w:caps/>
          <w:sz w:val="24"/>
          <w:szCs w:val="24"/>
        </w:rPr>
      </w:r>
    </w:p>
    <w:tbl>
      <w:tblPr>
        <w:tblW w:w="9633" w:type="dxa"/>
        <w:jc w:val="center"/>
        <w:tblCellSpacing w:w="22" w:type="dxa"/>
        <w:tblBorders/>
        <w:tblCellMar>
          <w:left w:w="30" w:type="dxa"/>
          <w:top w:w="30" w:type="dxa"/>
          <w:right w:w="30" w:type="dxa"/>
          <w:bottom w:w="30" w:type="dxa"/>
        </w:tblCellMar>
        <w:tblLook w:val="00A0" w:firstRow="1" w:lastRow="0" w:firstColumn="1" w:lastColumn="0" w:noHBand="0" w:noVBand="0"/>
      </w:tblPr>
      <w:tblGrid>
        <w:gridCol w:w="9781"/>
      </w:tblGrid>
      <w:tr>
        <w:trPr>
          <w:jc w:val="center"/>
          <w:tblCellSpacing w:w="22" w:type="dxa"/>
        </w:trPr>
        <w:tc>
          <w:tcPr>
            <w:tcBorders/>
            <w:tcW w:w="4954" w:type="pct"/>
            <w:textDirection w:val="lrTb"/>
            <w:noWrap w:val="false"/>
          </w:tcPr>
          <w:tbl>
            <w:tblPr>
              <w:tblW w:w="9633" w:type="dxa"/>
              <w:jc w:val="center"/>
              <w:tblCellSpacing w:w="22" w:type="dxa"/>
              <w:tblBorders/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0A0" w:firstRow="1" w:lastRow="0" w:firstColumn="1" w:lastColumn="0" w:noHBand="0" w:noVBand="0"/>
            </w:tblPr>
            <w:tblGrid>
              <w:gridCol w:w="9633"/>
            </w:tblGrid>
            <w:tr>
              <w:trPr>
                <w:jc w:val="center"/>
                <w:tblCellSpacing w:w="22" w:type="dxa"/>
              </w:trPr>
              <w:tc>
                <w:tcPr>
                  <w:tcBorders/>
                  <w:tcW w:w="4954" w:type="pct"/>
                  <w:vAlign w:val="center"/>
                  <w:textDirection w:val="lrTb"/>
                  <w:noWrap w:val="false"/>
                </w:tcPr>
                <w:tbl>
                  <w:tblPr>
                    <w:tblW w:w="8829" w:type="dxa"/>
                    <w:jc w:val="center"/>
                    <w:tblCellSpacing w:w="22" w:type="dxa"/>
                    <w:tblBorders/>
                    <w:tblCellMar>
                      <w:left w:w="30" w:type="dxa"/>
                      <w:top w:w="30" w:type="dxa"/>
                      <w:right w:w="30" w:type="dxa"/>
                      <w:bottom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263"/>
                    <w:gridCol w:w="4566"/>
                  </w:tblGrid>
                  <w:tr>
                    <w:trPr>
                      <w:jc w:val="center"/>
                      <w:tblCellSpacing w:w="22" w:type="dxa"/>
                    </w:trPr>
                    <w:tc>
                      <w:tcPr>
                        <w:tcBorders/>
                        <w:tcW w:w="2452" w:type="pct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Bdr/>
                          <w:spacing w:after="0" w:line="240" w:lineRule="auto"/>
                          <w:ind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Замовник 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Borders/>
                        <w:tcW w:w="2474" w:type="pct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Bdr/>
                          <w:spacing w:after="0" w:line="240" w:lineRule="auto"/>
                          <w:ind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Постачальник 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jc w:val="center"/>
                      <w:tblCellSpacing w:w="22" w:type="dxa"/>
                    </w:trPr>
                    <w:tc>
                      <w:tcPr>
                        <w:tcBorders/>
                        <w:tcW w:w="2452" w:type="pct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Центр соціально-психологічної реабілітації дітей "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Подолянчик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"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Код за ЄДРПОУ 23652484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29021, Україна, Хмельницька область, місто Хмельницький, 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вул. І.Сірка, 5/1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Телефон (03822) 2-09-45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МФО 820172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Р/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Р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 258201720344210003000053593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Державна казначейська служба 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  <w:t xml:space="preserve">України, м. Київ</w:t>
                        </w:r>
                        <w:r>
                          <w:rPr>
                            <w:sz w:val="22"/>
                            <w:szCs w:val="22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lang w:val="uk-UA" w:eastAsia="en-US"/>
                          </w:rPr>
                        </w:pPr>
                        <w:r>
                          <w:rPr>
                            <w:lang w:val="uk-UA" w:eastAsia="en-US"/>
                          </w:rPr>
                          <w:t xml:space="preserve">Електронна пошта</w:t>
                        </w:r>
                        <w:r>
                          <w:rPr>
                            <w:color w:val="555555"/>
                            <w:sz w:val="21"/>
                            <w:szCs w:val="21"/>
                            <w:shd w:val="clear" w:color="auto" w:fill="ffffff"/>
                            <w:lang w:val="uk-UA" w:eastAsia="en-US"/>
                          </w:rPr>
                          <w:t xml:space="preserve"> dobrogostov@ukr.net</w:t>
                        </w:r>
                        <w:r>
                          <w:rPr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b/>
                            <w:color w:val="auto"/>
                            <w:highlight w:val="yellow"/>
                            <w:lang w:val="uk-UA" w:eastAsia="en-US"/>
                          </w:rPr>
                        </w:pPr>
                        <w:r>
                          <w:rPr>
                            <w:b/>
                            <w:color w:val="auto"/>
                            <w:highlight w:val="yellow"/>
                            <w:lang w:val="uk-UA" w:eastAsia="en-US"/>
                          </w:rPr>
                        </w:r>
                        <w:r>
                          <w:rPr>
                            <w:b/>
                            <w:color w:val="auto"/>
                            <w:highlight w:val="yellow"/>
                            <w:lang w:val="uk-UA" w:eastAsia="en-US"/>
                          </w:rPr>
                        </w:r>
                      </w:p>
                      <w:p>
                        <w:pPr>
                          <w:pStyle w:val="630"/>
                          <w:pBdr/>
                          <w:spacing w:line="276" w:lineRule="auto"/>
                          <w:ind/>
                          <w:rPr>
                            <w:b/>
                            <w:color w:val="auto"/>
                            <w:highlight w:val="yellow"/>
                            <w:lang w:val="uk-UA" w:eastAsia="en-US"/>
                          </w:rPr>
                        </w:pPr>
                        <w:r>
                          <w:rPr>
                            <w:b/>
                            <w:color w:val="auto"/>
                            <w:highlight w:val="yellow"/>
                            <w:lang w:val="uk-UA" w:eastAsia="en-US"/>
                          </w:rPr>
                        </w:r>
                        <w:r>
                          <w:rPr>
                            <w:b/>
                            <w:color w:val="auto"/>
                            <w:highlight w:val="yellow"/>
                            <w:lang w:val="uk-UA" w:eastAsia="en-US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Директор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_</w:t>
                        </w:r>
                        <w:r>
                          <w:rPr>
                            <w:b/>
                          </w:rPr>
                          <w:t xml:space="preserve">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Borders/>
                        <w:tcW w:w="2474" w:type="pct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Bdr/>
                          <w:spacing w:after="0" w:line="240" w:lineRule="auto"/>
                          <w:ind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r>
                </w:p>
              </w:tc>
            </w:tr>
          </w:tbl>
          <w:p>
            <w:pPr>
              <w:pBdr/>
              <w:spacing/>
              <w:ind/>
              <w:rPr/>
            </w:pPr>
            <w:r/>
            <w:r/>
          </w:p>
        </w:tc>
      </w:tr>
    </w:tbl>
    <w:p>
      <w:pPr>
        <w:pStyle w:val="625"/>
        <w:pBdr/>
        <w:shd w:val="clear" w:color="auto" w:fill="ffffff"/>
        <w:spacing w:after="0" w:afterAutospacing="0" w:before="0" w:beforeAutospacing="0"/>
        <w:ind/>
        <w:jc w:val="right"/>
        <w:rPr>
          <w:bCs/>
        </w:rPr>
      </w:pPr>
      <w:r>
        <w:rPr>
          <w:bCs/>
        </w:rPr>
      </w:r>
      <w:r>
        <w:rPr>
          <w:bCs/>
        </w:rPr>
      </w:r>
    </w:p>
    <w:p>
      <w:pPr>
        <w:pStyle w:val="625"/>
        <w:pBdr/>
        <w:shd w:val="clear" w:color="auto" w:fill="ffffff"/>
        <w:spacing w:after="0" w:afterAutospacing="0" w:before="0" w:beforeAutospacing="0"/>
        <w:ind/>
        <w:jc w:val="right"/>
        <w:rPr/>
      </w:pPr>
      <w:r>
        <w:rPr>
          <w:bCs/>
        </w:rPr>
        <w:br w:type="page" w:clear="all"/>
      </w:r>
      <w:r>
        <w:t xml:space="preserve">Додаток № 1 </w:t>
      </w:r>
      <w:r/>
    </w:p>
    <w:p>
      <w:pPr>
        <w:pStyle w:val="627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 Договору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</w:r>
    </w:p>
    <w:p>
      <w:pPr>
        <w:pStyle w:val="627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</w:r>
    </w:p>
    <w:p>
      <w:pPr>
        <w:pStyle w:val="627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СПЕЦИФІКАЦІЯ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r>
    </w:p>
    <w:p>
      <w:pPr>
        <w:pBdr/>
        <w:tabs>
          <w:tab w:val="left" w:leader="none" w:pos="708"/>
        </w:tabs>
        <w:spacing/>
        <w:ind w:right="-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  <w:t xml:space="preserve">код ДК 021:2015 -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03220000-9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Овочі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фрукти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та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горіхи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Bdr/>
        <w:tabs>
          <w:tab w:val="left" w:leader="none" w:pos="708"/>
        </w:tabs>
        <w:spacing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  <w:t xml:space="preserve">(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Морква, цибуля, капуста, б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уряк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часник, яблука, банан, апельсин, мандарин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uk-UA"/>
        </w:rPr>
        <w:t xml:space="preserve">, помідори, огірки, перець, слива, абрикос, полуниця, редиска, персик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uk-UA"/>
        </w:rPr>
        <w:t xml:space="preserve">)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9"/>
        <w:gridCol w:w="2382"/>
        <w:gridCol w:w="1668"/>
        <w:gridCol w:w="1351"/>
        <w:gridCol w:w="1872"/>
        <w:gridCol w:w="1789"/>
      </w:tblGrid>
      <w:tr>
        <w:trPr>
          <w:trHeight w:val="1229"/>
        </w:trPr>
        <w:tc>
          <w:tcPr>
            <w:shd w:val="clear" w:color="auto" w:fill="auto"/>
            <w:tcBorders/>
            <w:tcW w:w="509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2382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Найменування</w:t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товару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1668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Кількість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  <w:tc>
          <w:tcPr>
            <w:shd w:val="clear" w:color="auto" w:fill="auto"/>
            <w:tcBorders/>
            <w:tcW w:w="1351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Одиниця виміру</w:t>
            </w: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  <w:tc>
          <w:tcPr>
            <w:tcBorders/>
            <w:tcW w:w="1872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Ц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іна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одиницю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товару(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грн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)</w:t>
            </w: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  <w:tc>
          <w:tcPr>
            <w:shd w:val="clear" w:color="auto" w:fill="auto"/>
            <w:tcBorders/>
            <w:tcW w:w="1789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Загальна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вартість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товару з ПДВ (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або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без ПДВ)</w:t>
            </w:r>
            <w:r>
              <w:rPr>
                <w:rFonts w:ascii="Times New Roman" w:hAnsi="Times New Roman"/>
                <w:b/>
                <w:bCs/>
                <w:lang w:val="ru-RU"/>
              </w:rPr>
            </w:r>
          </w:p>
        </w:tc>
      </w:tr>
      <w:tr>
        <w:trPr/>
        <w:tc>
          <w:tcPr>
            <w:shd w:val="clear" w:color="auto" w:fill="auto"/>
            <w:tcBorders/>
            <w:tcW w:w="509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2382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Style w:val="63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Style w:val="631"/>
                <w:rFonts w:ascii="Times New Roman" w:hAnsi="Times New Roman"/>
              </w:rPr>
            </w:r>
          </w:p>
        </w:tc>
        <w:tc>
          <w:tcPr>
            <w:shd w:val="clear" w:color="auto" w:fill="auto"/>
            <w:tcBorders/>
            <w:tcW w:w="1668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135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872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auto" w:fill="auto"/>
            <w:tcBorders/>
            <w:tcW w:w="1789" w:type="dxa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shd w:val="clear" w:color="ffffff" w:fill="ffffff"/>
            <w:tcBorders/>
            <w:tcW w:w="509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ffffff" w:fill="ffffff"/>
            <w:tcBorders/>
            <w:tcW w:w="2382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ffffff" w:fill="ffffff"/>
            <w:tcBorders/>
            <w:tcW w:w="1668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ffffff" w:fill="ffffff"/>
            <w:tcBorders/>
            <w:tcW w:w="1351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872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ffffff" w:fill="ffffff"/>
            <w:tcBorders/>
            <w:tcW w:w="1789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shd w:val="clear" w:color="ffffff" w:fill="ffffff"/>
            <w:tcBorders/>
            <w:tcW w:w="509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ffffff" w:fill="ffffff"/>
            <w:tcBorders/>
            <w:tcW w:w="2382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ffffff" w:fill="ffffff"/>
            <w:tcBorders/>
            <w:tcW w:w="1668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ffffff" w:fill="ffffff"/>
            <w:tcBorders/>
            <w:tcW w:w="1351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872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ffffff" w:fill="ffffff"/>
            <w:tcBorders/>
            <w:tcW w:w="1789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shd w:val="clear" w:color="ffffff" w:fill="ffffff"/>
            <w:tcBorders/>
            <w:tcW w:w="509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ffffff" w:fill="ffffff"/>
            <w:tcBorders/>
            <w:tcW w:w="2382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ffffff" w:fill="ffffff"/>
            <w:tcBorders/>
            <w:tcW w:w="1668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ffffff" w:fill="ffffff"/>
            <w:tcBorders/>
            <w:tcW w:w="1351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/>
            <w:tcW w:w="1872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shd w:val="clear" w:color="ffffff" w:fill="ffffff"/>
            <w:tcBorders/>
            <w:tcW w:w="1789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10065"/>
                <w:tab w:val="left" w:leader="none" w:pos="10348"/>
              </w:tabs>
              <w:spacing/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pStyle w:val="627"/>
        <w:widowControl w:val="false"/>
        <w:pBdr/>
        <w:spacing w:line="240" w:lineRule="auto"/>
        <w:ind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</w:r>
    </w:p>
    <w:p>
      <w:pPr>
        <w:pStyle w:val="627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</w:r>
      <w:r>
        <w:rPr>
          <w:rFonts w:ascii="Times New Roman" w:hAnsi="Times New Roman" w:cs="Times New Roman"/>
          <w:color w:val="auto"/>
          <w:lang w:val="uk-UA"/>
        </w:rPr>
      </w:r>
    </w:p>
    <w:p>
      <w:pPr>
        <w:pStyle w:val="627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</w:r>
      <w:r>
        <w:rPr>
          <w:rFonts w:ascii="Times New Roman" w:hAnsi="Times New Roman" w:cs="Times New Roman"/>
          <w:color w:val="auto"/>
          <w:lang w:val="uk-UA"/>
        </w:rPr>
      </w:r>
    </w:p>
    <w:tbl>
      <w:tblPr>
        <w:tblW w:w="9633" w:type="dxa"/>
        <w:jc w:val="center"/>
        <w:tblCellSpacing w:w="22" w:type="dxa"/>
        <w:tblBorders/>
        <w:tblCellMar>
          <w:left w:w="30" w:type="dxa"/>
          <w:top w:w="30" w:type="dxa"/>
          <w:right w:w="30" w:type="dxa"/>
          <w:bottom w:w="30" w:type="dxa"/>
        </w:tblCellMar>
        <w:tblLook w:val="00A0" w:firstRow="1" w:lastRow="0" w:firstColumn="1" w:lastColumn="0" w:noHBand="0" w:noVBand="0"/>
      </w:tblPr>
      <w:tblGrid>
        <w:gridCol w:w="9633"/>
      </w:tblGrid>
      <w:tr>
        <w:trPr>
          <w:jc w:val="center"/>
          <w:tblCellSpacing w:w="22" w:type="dxa"/>
        </w:trPr>
        <w:tc>
          <w:tcPr>
            <w:tcBorders/>
            <w:tcW w:w="4954" w:type="pct"/>
            <w:vAlign w:val="center"/>
            <w:textDirection w:val="lrTb"/>
            <w:noWrap w:val="false"/>
          </w:tcPr>
          <w:tbl>
            <w:tblPr>
              <w:tblW w:w="8829" w:type="dxa"/>
              <w:jc w:val="center"/>
              <w:tblCellSpacing w:w="22" w:type="dxa"/>
              <w:tblBorders/>
              <w:tblCellMar>
                <w:left w:w="30" w:type="dxa"/>
                <w:top w:w="30" w:type="dxa"/>
                <w:right w:w="30" w:type="dxa"/>
                <w:bottom w:w="30" w:type="dxa"/>
              </w:tblCellMar>
              <w:tblLook w:val="00A0" w:firstRow="1" w:lastRow="0" w:firstColumn="1" w:lastColumn="0" w:noHBand="0" w:noVBand="0"/>
            </w:tblPr>
            <w:tblGrid>
              <w:gridCol w:w="4263"/>
              <w:gridCol w:w="4566"/>
            </w:tblGrid>
            <w:tr>
              <w:trPr>
                <w:jc w:val="center"/>
                <w:tblCellSpacing w:w="22" w:type="dxa"/>
              </w:trPr>
              <w:tc>
                <w:tcPr>
                  <w:tcBorders/>
                  <w:tcW w:w="2452" w:type="pct"/>
                  <w:vAlign w:val="center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Замовник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2474" w:type="pct"/>
                  <w:vAlign w:val="center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Постачальник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</w:p>
              </w:tc>
            </w:tr>
            <w:tr>
              <w:trPr>
                <w:jc w:val="center"/>
                <w:tblCellSpacing w:w="22" w:type="dxa"/>
              </w:trPr>
              <w:tc>
                <w:tcPr>
                  <w:tcBorders/>
                  <w:tcW w:w="2452" w:type="pct"/>
                  <w:vAlign w:val="center"/>
                  <w:textDirection w:val="lrTb"/>
                  <w:noWrap w:val="false"/>
                </w:tcPr>
                <w:p>
                  <w:pPr>
                    <w:pStyle w:val="630"/>
                    <w:pBdr/>
                    <w:spacing w:line="276" w:lineRule="auto"/>
                    <w:ind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Центр соціально-психологічної реабілітації дітей "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Подолянчик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"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Код за ЄДРПОУ 23652484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29021, Україна, Хмельницька область, місто Хмельницький, 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вул. І.Сірка, 5/1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Телефон (03822) 2-09-45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МФО 820172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Р/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Р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2582017203442100</w:t>
                  </w:r>
                  <w:bookmarkStart w:id="6" w:name="_GoBack"/>
                  <w:r/>
                  <w:bookmarkEnd w:id="6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03000053593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Державна казначейська служба 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України, м. Київ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Електронна пошта</w:t>
                  </w:r>
                  <w:r>
                    <w:rPr>
                      <w:color w:val="555555"/>
                      <w:sz w:val="21"/>
                      <w:szCs w:val="21"/>
                      <w:shd w:val="clear" w:color="auto" w:fill="ffffff"/>
                      <w:lang w:val="uk-UA" w:eastAsia="en-US"/>
                    </w:rPr>
                    <w:t xml:space="preserve"> dobrogostov@ukr.net</w:t>
                  </w:r>
                  <w:r>
                    <w:rPr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b/>
                      <w:color w:val="auto"/>
                      <w:highlight w:val="yellow"/>
                      <w:lang w:val="uk-UA" w:eastAsia="en-US"/>
                    </w:rPr>
                  </w:pPr>
                  <w:r>
                    <w:rPr>
                      <w:b/>
                      <w:color w:val="auto"/>
                      <w:highlight w:val="yellow"/>
                      <w:lang w:val="uk-UA" w:eastAsia="en-US"/>
                    </w:rPr>
                  </w:r>
                  <w:r>
                    <w:rPr>
                      <w:b/>
                      <w:color w:val="auto"/>
                      <w:highlight w:val="yellow"/>
                      <w:lang w:val="uk-UA" w:eastAsia="en-US"/>
                    </w:rPr>
                  </w:r>
                </w:p>
                <w:p>
                  <w:pPr>
                    <w:pStyle w:val="630"/>
                    <w:pBdr/>
                    <w:spacing w:line="276" w:lineRule="auto"/>
                    <w:ind/>
                    <w:rPr>
                      <w:b/>
                      <w:color w:val="auto"/>
                      <w:highlight w:val="yellow"/>
                      <w:lang w:val="uk-UA" w:eastAsia="en-US"/>
                    </w:rPr>
                  </w:pPr>
                  <w:r>
                    <w:rPr>
                      <w:b/>
                      <w:color w:val="auto"/>
                      <w:highlight w:val="yellow"/>
                      <w:lang w:val="uk-UA" w:eastAsia="en-US"/>
                    </w:rPr>
                  </w:r>
                  <w:r>
                    <w:rPr>
                      <w:b/>
                      <w:color w:val="auto"/>
                      <w:highlight w:val="yellow"/>
                      <w:lang w:val="uk-UA" w:eastAsia="en-US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Директор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2474" w:type="pct"/>
                  <w:vAlign w:val="center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Bdr/>
              <w:spacing w:after="0" w:line="240" w:lineRule="auto"/>
              <w:ind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5840" w:orient="landscape" w:w="12240"/>
      <w:pgMar w:top="1440" w:right="900" w:bottom="1440" w:left="144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true"/>
      <w:lvlJc w:val="left"/>
      <w:lvlText w:val="%1.%2."/>
      <w:numFmt w:val="decimal"/>
      <w:pPr>
        <w:pBdr/>
        <w:tabs>
          <w:tab w:val="num" w:leader="none" w:pos="1128"/>
        </w:tabs>
        <w:spacing/>
        <w:ind w:hanging="420" w:left="1128"/>
      </w:pPr>
      <w:rPr/>
      <w:start w:val="1"/>
      <w:suff w:val="space"/>
    </w:lvl>
    <w:lvl w:ilvl="2">
      <w:isLgl w:val="true"/>
      <w:lvlJc w:val="left"/>
      <w:lvlText w:val="%1.%2.%3."/>
      <w:numFmt w:val="decimal"/>
      <w:pPr>
        <w:pBdr/>
        <w:tabs>
          <w:tab w:val="num" w:leader="none" w:pos="1776"/>
        </w:tabs>
        <w:spacing/>
        <w:ind w:hanging="720" w:left="1776"/>
      </w:pPr>
      <w:rPr/>
      <w:start w:val="1"/>
      <w:suff w:val="space"/>
    </w:lvl>
    <w:lvl w:ilvl="3">
      <w:isLgl w:val="true"/>
      <w:lvlJc w:val="left"/>
      <w:lvlText w:val="%1.%2.%3.%4."/>
      <w:numFmt w:val="decimal"/>
      <w:pPr>
        <w:pBdr/>
        <w:tabs>
          <w:tab w:val="num" w:leader="none" w:pos="2124"/>
        </w:tabs>
        <w:spacing/>
        <w:ind w:hanging="720" w:left="2124"/>
      </w:pPr>
      <w:rPr/>
      <w:start w:val="1"/>
      <w:suff w:val="space"/>
    </w:lvl>
    <w:lvl w:ilvl="4">
      <w:isLgl w:val="true"/>
      <w:lvlJc w:val="left"/>
      <w:lvlText w:val="%1.%2.%3.%4.%5."/>
      <w:numFmt w:val="decimal"/>
      <w:pPr>
        <w:pBdr/>
        <w:tabs>
          <w:tab w:val="num" w:leader="none" w:pos="2832"/>
        </w:tabs>
        <w:spacing/>
        <w:ind w:hanging="1080" w:left="2832"/>
      </w:pPr>
      <w:rPr/>
      <w:start w:val="1"/>
      <w:suff w:val="space"/>
    </w:lvl>
    <w:lvl w:ilvl="5">
      <w:isLgl w:val="true"/>
      <w:lvlJc w:val="left"/>
      <w:lvlText w:val="%1.%2.%3.%4.%5.%6."/>
      <w:numFmt w:val="decimal"/>
      <w:pPr>
        <w:pBdr/>
        <w:tabs>
          <w:tab w:val="num" w:leader="none" w:pos="3180"/>
        </w:tabs>
        <w:spacing/>
        <w:ind w:hanging="1080" w:left="3180"/>
      </w:pPr>
      <w:rPr/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tabs>
          <w:tab w:val="num" w:leader="none" w:pos="3888"/>
        </w:tabs>
        <w:spacing/>
        <w:ind w:hanging="1440" w:left="3888"/>
      </w:pPr>
      <w:rPr/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tabs>
          <w:tab w:val="num" w:leader="none" w:pos="4236"/>
        </w:tabs>
        <w:spacing/>
        <w:ind w:hanging="1440" w:left="4236"/>
      </w:pPr>
      <w:rPr/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tabs>
          <w:tab w:val="num" w:leader="none" w:pos="4944"/>
        </w:tabs>
        <w:spacing/>
        <w:ind w:hanging="1800" w:left="4944"/>
      </w:pPr>
      <w:rPr/>
      <w:start w:val="1"/>
      <w:suff w:val="space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9"/>
    <w:next w:val="619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0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9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0"/>
    <w:link w:val="42"/>
    <w:uiPriority w:val="99"/>
    <w:pPr>
      <w:pBdr/>
      <w:spacing/>
      <w:ind/>
    </w:pPr>
  </w:style>
  <w:style w:type="paragraph" w:styleId="44">
    <w:name w:val="Footer"/>
    <w:basedOn w:val="619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0"/>
    <w:link w:val="44"/>
    <w:uiPriority w:val="99"/>
    <w:pPr>
      <w:pBdr/>
      <w:spacing/>
      <w:ind/>
    </w:pPr>
  </w:style>
  <w:style w:type="paragraph" w:styleId="46">
    <w:name w:val="Caption"/>
    <w:basedOn w:val="619"/>
    <w:next w:val="61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0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0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9"/>
    <w:next w:val="619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9"/>
    <w:next w:val="619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9"/>
    <w:next w:val="619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9"/>
    <w:next w:val="619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9"/>
    <w:next w:val="619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9"/>
    <w:next w:val="619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9"/>
    <w:next w:val="619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9"/>
    <w:next w:val="619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9"/>
    <w:next w:val="619"/>
    <w:uiPriority w:val="99"/>
    <w:unhideWhenUsed/>
    <w:pPr>
      <w:pBdr/>
      <w:spacing w:after="0" w:afterAutospacing="0"/>
      <w:ind/>
    </w:pPr>
  </w:style>
  <w:style w:type="paragraph" w:styleId="619" w:default="1">
    <w:name w:val="Normal"/>
    <w:qFormat/>
    <w:pPr>
      <w:pBdr/>
      <w:spacing/>
      <w:ind/>
    </w:pPr>
    <w:rPr>
      <w:rFonts w:ascii="Calibri" w:hAnsi="Calibri" w:eastAsia="Times New Roman" w:cs="Times New Roman"/>
    </w:rPr>
  </w:style>
  <w:style w:type="character" w:styleId="620" w:default="1">
    <w:name w:val="Default Paragraph Font"/>
    <w:uiPriority w:val="1"/>
    <w:semiHidden/>
    <w:unhideWhenUsed/>
    <w:pPr>
      <w:pBdr/>
      <w:spacing/>
      <w:ind/>
    </w:pPr>
  </w:style>
  <w:style w:type="table" w:styleId="62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2" w:default="1">
    <w:name w:val="No List"/>
    <w:uiPriority w:val="99"/>
    <w:semiHidden/>
    <w:unhideWhenUsed/>
    <w:pPr>
      <w:pBdr/>
      <w:spacing/>
      <w:ind/>
    </w:pPr>
  </w:style>
  <w:style w:type="character" w:styleId="623" w:customStyle="1">
    <w:name w:val="Обычный (веб) Знак"/>
    <w:link w:val="624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624">
    <w:name w:val="Normal (Web)"/>
    <w:basedOn w:val="619"/>
    <w:link w:val="623"/>
    <w:unhideWhenUsed/>
    <w:qFormat/>
    <w:pPr>
      <w:pBdr/>
      <w:spacing w:after="120" w:line="480" w:lineRule="auto"/>
      <w:ind w:left="360"/>
    </w:pPr>
    <w:rPr>
      <w:rFonts w:ascii="Times New Roman" w:hAnsi="Times New Roman"/>
      <w:sz w:val="24"/>
      <w:szCs w:val="24"/>
      <w:lang w:val="ru-RU" w:eastAsia="zh-CN"/>
    </w:rPr>
  </w:style>
  <w:style w:type="paragraph" w:styleId="625" w:customStyle="1">
    <w:name w:val="rvps2"/>
    <w:basedOn w:val="619"/>
    <w:qFormat/>
    <w:pPr>
      <w:pBdr/>
      <w:spacing w:after="100" w:afterAutospacing="1" w:before="100" w:beforeAutospacing="1" w:line="240" w:lineRule="auto"/>
      <w:ind/>
    </w:pPr>
    <w:rPr>
      <w:rFonts w:ascii="Times New Roman" w:hAnsi="Times New Roman" w:eastAsia="Calibri"/>
      <w:sz w:val="24"/>
      <w:szCs w:val="24"/>
      <w:lang w:eastAsia="ru-RU"/>
    </w:rPr>
  </w:style>
  <w:style w:type="paragraph" w:styleId="626" w:customStyle="1">
    <w:name w:val="Абзац списка1"/>
    <w:basedOn w:val="619"/>
    <w:qFormat/>
    <w:pPr>
      <w:pBdr/>
      <w:spacing/>
      <w:ind w:left="720"/>
      <w:contextualSpacing w:val="true"/>
    </w:pPr>
  </w:style>
  <w:style w:type="paragraph" w:styleId="627" w:customStyle="1">
    <w:name w:val="Обычный2"/>
    <w:qFormat/>
    <w:pPr>
      <w:pBdr/>
      <w:spacing w:after="0"/>
      <w:ind/>
    </w:pPr>
    <w:rPr>
      <w:rFonts w:ascii="Arial" w:hAnsi="Arial" w:eastAsia="Times New Roman" w:cs="Arial"/>
      <w:color w:val="000000"/>
      <w:lang w:val="ru-RU" w:eastAsia="ru-RU"/>
    </w:rPr>
  </w:style>
  <w:style w:type="paragraph" w:styleId="628" w:customStyle="1">
    <w:name w:val="Без интервала1"/>
    <w:qFormat/>
    <w:pPr>
      <w:pBdr/>
      <w:spacing w:after="0" w:line="240" w:lineRule="auto"/>
      <w:ind/>
    </w:pPr>
    <w:rPr>
      <w:rFonts w:ascii="Times New Roman" w:hAnsi="Times New Roman" w:eastAsia="Times New Roman" w:cs="Times New Roman"/>
    </w:rPr>
  </w:style>
  <w:style w:type="paragraph" w:styleId="629" w:customStyle="1">
    <w:name w:val="Основной текст 31"/>
    <w:basedOn w:val="619"/>
    <w:qFormat/>
    <w:pPr>
      <w:widowControl w:val="false"/>
      <w:pBdr/>
      <w:spacing w:after="0" w:line="240" w:lineRule="auto"/>
      <w:ind/>
      <w:jc w:val="both"/>
    </w:pPr>
    <w:rPr>
      <w:rFonts w:ascii="Times New Roman" w:hAnsi="Times New Roman"/>
      <w:color w:val="ff0000"/>
      <w:sz w:val="24"/>
      <w:szCs w:val="20"/>
      <w:lang w:eastAsia="ar-SA"/>
    </w:rPr>
  </w:style>
  <w:style w:type="paragraph" w:styleId="630" w:customStyle="1">
    <w:name w:val="Standard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/>
    </w:rPr>
  </w:style>
  <w:style w:type="character" w:styleId="631" w:customStyle="1">
    <w:name w:val="tl8wme emohub"/>
    <w:basedOn w:val="620"/>
    <w:pPr>
      <w:pBdr/>
      <w:spacing/>
      <w:ind/>
    </w:pPr>
  </w:style>
  <w:style w:type="character" w:styleId="632">
    <w:name w:val="Hyperlink"/>
    <w:basedOn w:val="620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633">
    <w:name w:val="annotation reference"/>
    <w:basedOn w:val="620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634">
    <w:name w:val="annotation text"/>
    <w:basedOn w:val="619"/>
    <w:link w:val="635"/>
    <w:uiPriority w:val="99"/>
    <w:semiHidden/>
    <w:unhideWhenUsed/>
    <w:pPr>
      <w:pBdr/>
      <w:spacing w:after="160" w:line="240" w:lineRule="auto"/>
      <w:ind/>
    </w:pPr>
    <w:rPr>
      <w:rFonts w:asciiTheme="minorHAnsi" w:hAnsiTheme="minorHAnsi" w:eastAsiaTheme="minorHAnsi" w:cstheme="minorBidi"/>
      <w:sz w:val="20"/>
      <w:szCs w:val="20"/>
      <w:lang w:val="ru-RU"/>
    </w:rPr>
  </w:style>
  <w:style w:type="character" w:styleId="635" w:customStyle="1">
    <w:name w:val="Текст примечания Знак"/>
    <w:basedOn w:val="620"/>
    <w:link w:val="634"/>
    <w:uiPriority w:val="99"/>
    <w:semiHidden/>
    <w:pPr>
      <w:pBdr/>
      <w:spacing/>
      <w:ind/>
    </w:pPr>
    <w:rPr>
      <w:sz w:val="20"/>
      <w:szCs w:val="20"/>
      <w:lang w:val="ru-RU"/>
    </w:rPr>
  </w:style>
  <w:style w:type="paragraph" w:styleId="636">
    <w:name w:val="Balloon Text"/>
    <w:basedOn w:val="619"/>
    <w:link w:val="637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637" w:customStyle="1">
    <w:name w:val="Текст выноски Знак"/>
    <w:basedOn w:val="620"/>
    <w:link w:val="636"/>
    <w:uiPriority w:val="99"/>
    <w:semiHidden/>
    <w:pPr>
      <w:pBdr/>
      <w:spacing/>
      <w:ind/>
    </w:pPr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zakon.rada.gov.ua/laws/show/922-1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revision>4</cp:revision>
  <dcterms:created xsi:type="dcterms:W3CDTF">2023-12-15T14:48:00Z</dcterms:created>
  <dcterms:modified xsi:type="dcterms:W3CDTF">2024-01-19T20:51:49Z</dcterms:modified>
</cp:coreProperties>
</file>