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AC" w:rsidRDefault="00CC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147AC" w:rsidRDefault="00CC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ЩОДО ПРИЙНЯТТЯ РІШЕННЯ УПОВНОВАЖЕНОЮ ОСОБОЮ</w:t>
      </w:r>
    </w:p>
    <w:p w:rsidR="001147AC" w:rsidRDefault="001147AC">
      <w:pPr>
        <w:jc w:val="center"/>
        <w:rPr>
          <w:b/>
          <w:sz w:val="28"/>
          <w:szCs w:val="28"/>
        </w:rPr>
      </w:pPr>
    </w:p>
    <w:tbl>
      <w:tblPr>
        <w:tblStyle w:val="a9"/>
        <w:tblW w:w="9839" w:type="dxa"/>
        <w:tblInd w:w="-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6"/>
        <w:gridCol w:w="1209"/>
        <w:gridCol w:w="4394"/>
      </w:tblGrid>
      <w:tr w:rsidR="001147AC">
        <w:trPr>
          <w:trHeight w:val="460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AC" w:rsidRDefault="00CC3409">
            <w:pPr>
              <w:ind w:left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22.02.2024 року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AC" w:rsidRDefault="00CC3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AC" w:rsidRDefault="00CC3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№ 104</w:t>
            </w:r>
          </w:p>
        </w:tc>
      </w:tr>
    </w:tbl>
    <w:p w:rsidR="001147AC" w:rsidRDefault="00CC340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Керуючись вимогами статті 11 та 24 Закону України «Про публічні закупівлі» (далі - Закон), Положенням про уповноважену особу, що затверджене рішенням дирекції Державного публічного акціонерного товариства «Національна акціонерна компанія «Украгролізинг» ві</w:t>
      </w:r>
      <w:r>
        <w:t>д 22.12.2021 року та п. 54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</w:t>
      </w:r>
      <w:r>
        <w:t>ипинення або скасування, затверджених постановою Кабінету Міністрів України від 12 жовтня 2022 р. № 1178 (зі змінами) (далі - Особливості).</w:t>
      </w:r>
    </w:p>
    <w:p w:rsidR="001147AC" w:rsidRDefault="00CC340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Замовник має право з власної ініціативи або у разі усунення порушень вимог законодавства у сфері публічних закупівел</w:t>
      </w:r>
      <w:r>
        <w:t>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</w:t>
      </w:r>
      <w:r>
        <w:t>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1147AC" w:rsidRDefault="00CC340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</w:t>
      </w:r>
      <w:r>
        <w:t xml:space="preserve"> тендерної документації в окремому документі оприлюднює перелік змін, що вносяться.</w:t>
      </w:r>
    </w:p>
    <w:p w:rsidR="001147AC" w:rsidRDefault="001147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p w:rsidR="001147AC" w:rsidRDefault="00CC3409">
      <w:pPr>
        <w:ind w:firstLine="860"/>
        <w:rPr>
          <w:b/>
        </w:rPr>
      </w:pPr>
      <w:r>
        <w:rPr>
          <w:b/>
        </w:rPr>
        <w:t>ВИРІШИВ:</w:t>
      </w:r>
    </w:p>
    <w:p w:rsidR="001147AC" w:rsidRDefault="001147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p w:rsidR="001147AC" w:rsidRDefault="00CC3409">
      <w:pPr>
        <w:ind w:firstLine="709"/>
        <w:jc w:val="both"/>
      </w:pPr>
      <w:r>
        <w:t xml:space="preserve">Внести змін до тендерної документації (далі – ТД) на закупівлю «Фронтальні ковшові навантажувачі» - за кодом CPV за ДК 021:2015 - 43250000-0 (Автонавантажувач телескопічний колісний, б/в, JCB 531-70)  – 1 од. </w:t>
      </w:r>
      <w:r>
        <w:rPr>
          <w:color w:val="000000"/>
        </w:rPr>
        <w:t>(Далі – Предмет Закупівлі)</w:t>
      </w:r>
      <w:r>
        <w:t>. (Ідентифікатор заку</w:t>
      </w:r>
      <w:r>
        <w:t>півлі UA-2024-02-19-011344-a). Внести зміни в Додаток № 5 ТД та викласти його в наступному змісті:</w:t>
      </w:r>
    </w:p>
    <w:p w:rsidR="001147AC" w:rsidRDefault="00CC3409">
      <w:pPr>
        <w:jc w:val="right"/>
        <w:rPr>
          <w:b/>
        </w:rPr>
      </w:pPr>
      <w:r>
        <w:rPr>
          <w:b/>
        </w:rPr>
        <w:t>«ДОДАТОК № 5</w:t>
      </w:r>
    </w:p>
    <w:p w:rsidR="001147AC" w:rsidRDefault="001147AC">
      <w:pPr>
        <w:jc w:val="right"/>
      </w:pPr>
    </w:p>
    <w:p w:rsidR="001147AC" w:rsidRDefault="00CC3409">
      <w:pPr>
        <w:jc w:val="center"/>
        <w:rPr>
          <w:b/>
          <w:color w:val="000000"/>
        </w:rPr>
      </w:pPr>
      <w:r>
        <w:rPr>
          <w:b/>
          <w:color w:val="000000"/>
        </w:rPr>
        <w:t>Інформація про необхідні технічні, якісні та кількісні характеристики предмета закупівлі, у тому числі відповідну технічну специфікацію (у разі</w:t>
      </w:r>
      <w:r>
        <w:rPr>
          <w:b/>
          <w:color w:val="000000"/>
        </w:rPr>
        <w:t xml:space="preserve"> потреби - плани, креслення, малюнки чи опис предмета закупівлі).</w:t>
      </w:r>
    </w:p>
    <w:p w:rsidR="001147AC" w:rsidRDefault="001147AC">
      <w:pPr>
        <w:jc w:val="center"/>
        <w:rPr>
          <w:b/>
          <w:color w:val="000000"/>
          <w:sz w:val="16"/>
          <w:szCs w:val="16"/>
        </w:rPr>
      </w:pPr>
    </w:p>
    <w:p w:rsidR="001147AC" w:rsidRDefault="00CC3409" w:rsidP="00CC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«Автонавантажувач телескопічний колісний, б/в, JCB 531-70»</w:t>
      </w:r>
    </w:p>
    <w:p w:rsidR="001147AC" w:rsidRDefault="00CC3409" w:rsidP="00CC3409">
      <w:pPr>
        <w:jc w:val="center"/>
        <w:rPr>
          <w:i/>
        </w:rPr>
      </w:pPr>
      <w:r>
        <w:rPr>
          <w:i/>
        </w:rPr>
        <w:t xml:space="preserve">(найменування та марку техніки вказано на виконання вимог ч. 1 ст. 1 та </w:t>
      </w:r>
      <w:proofErr w:type="spellStart"/>
      <w:r>
        <w:rPr>
          <w:i/>
        </w:rPr>
        <w:t>пп</w:t>
      </w:r>
      <w:proofErr w:type="spellEnd"/>
      <w:r>
        <w:rPr>
          <w:i/>
        </w:rPr>
        <w:t>. 1-2 ч. 1 ст. 21 Закону України «Про фінансовий лізинг»</w:t>
      </w:r>
      <w:r>
        <w:rPr>
          <w:i/>
        </w:rPr>
        <w:t>) або еквівалент</w:t>
      </w:r>
    </w:p>
    <w:p w:rsidR="001147AC" w:rsidRDefault="00CC3409" w:rsidP="00CC3409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1147AC" w:rsidRDefault="00CC3409" w:rsidP="00CC3409">
      <w:pPr>
        <w:ind w:firstLine="700"/>
        <w:jc w:val="both"/>
      </w:pPr>
      <w:r>
        <w:t>Перелік документів, які обов’язково повинен подати учасник для підтвердження якості товару, що є предметом закупівлі:</w:t>
      </w:r>
    </w:p>
    <w:p w:rsidR="001147AC" w:rsidRDefault="00CC3409" w:rsidP="00CC3409">
      <w:pPr>
        <w:ind w:firstLine="700"/>
        <w:jc w:val="both"/>
      </w:pPr>
      <w:r>
        <w:t>1. Скан-копія технічних умов на предмет закупівлі та/або технічної документації, що містить докладний опис технічних, ф</w:t>
      </w:r>
      <w:r>
        <w:t>ункціональних характеристик та гарантійні зобов’язання постачальника на предмет закупівлі;</w:t>
      </w:r>
    </w:p>
    <w:p w:rsidR="001147AC" w:rsidRDefault="00CC3409" w:rsidP="00CC3409">
      <w:pPr>
        <w:ind w:firstLine="700"/>
        <w:jc w:val="both"/>
      </w:pPr>
      <w:r>
        <w:t xml:space="preserve">2. Скан-копія довідки щодо локалізації складових вітчизняного виробництва у собівартості товару, що є предметом закупівлі, або пояснення у разі відсутності товару в </w:t>
      </w:r>
      <w:r>
        <w:t>переліку відповідно до підпункту 2 пункту 6-1 розділу X “Прикінцеві та перехідні положення” Закону;</w:t>
      </w:r>
    </w:p>
    <w:p w:rsidR="001147AC" w:rsidRDefault="00CC3409" w:rsidP="00CC3409">
      <w:pPr>
        <w:ind w:firstLine="700"/>
        <w:jc w:val="both"/>
        <w:rPr>
          <w:highlight w:val="white"/>
        </w:rPr>
      </w:pPr>
      <w:r>
        <w:t xml:space="preserve">3. Скан-копія </w:t>
      </w:r>
      <w:r>
        <w:rPr>
          <w:highlight w:val="white"/>
        </w:rPr>
        <w:t>сертифіката відповідності системи управління якістю у виробництві вимогам ДСТУ ISO 9001:2015 або ДСТУ EN ISO 9001:2018 (EN ISO 9001:2015, IDT;</w:t>
      </w:r>
      <w:r>
        <w:rPr>
          <w:highlight w:val="white"/>
        </w:rPr>
        <w:t xml:space="preserve"> ISO </w:t>
      </w:r>
      <w:r>
        <w:rPr>
          <w:highlight w:val="white"/>
        </w:rPr>
        <w:lastRenderedPageBreak/>
        <w:t>9001:2015, IDT) щодо виробника, продукція якого пропонується таким учасником, або національних стандартів, якими їх замінено, виданого акредитованим відповідно до законодавства органом з оцінки відповідності;</w:t>
      </w:r>
    </w:p>
    <w:p w:rsidR="001147AC" w:rsidRDefault="00CC3409" w:rsidP="00CC3409">
      <w:pPr>
        <w:ind w:firstLine="700"/>
        <w:jc w:val="both"/>
        <w:rPr>
          <w:highlight w:val="white"/>
        </w:rPr>
      </w:pPr>
      <w:r>
        <w:t xml:space="preserve">4. Скан-копія </w:t>
      </w:r>
      <w:r>
        <w:rPr>
          <w:highlight w:val="white"/>
        </w:rPr>
        <w:t xml:space="preserve">сертифіката типу обладнання </w:t>
      </w:r>
      <w:r>
        <w:rPr>
          <w:highlight w:val="white"/>
        </w:rPr>
        <w:t>(або сертифікат типу транспортного засобу) чи сертифіката відповідності транспортних засобів або обладнання, чи сертифіката відповідності щодо індивідуального затвердження, в якому зазначено місцезнаходження виробника колісного транспортного засобу в Украї</w:t>
      </w:r>
      <w:r>
        <w:rPr>
          <w:highlight w:val="white"/>
        </w:rPr>
        <w:t xml:space="preserve">ні, виданого органом із сертифікації для індивідуального затвердження колісних транспортних засобів, партій частин та обладнання, який відповідно до законодавства призначений </w:t>
      </w:r>
      <w:proofErr w:type="spellStart"/>
      <w:r>
        <w:rPr>
          <w:highlight w:val="white"/>
        </w:rPr>
        <w:t>Мінінфраструктури</w:t>
      </w:r>
      <w:proofErr w:type="spellEnd"/>
      <w:r>
        <w:rPr>
          <w:highlight w:val="white"/>
        </w:rPr>
        <w:t>, чи свідоцтво про присвоєння міжнародного ідентифікаційного код</w:t>
      </w:r>
      <w:r>
        <w:rPr>
          <w:highlight w:val="white"/>
        </w:rPr>
        <w:t>у виробника (WMI), що входить в структуру ідентифікаційного номера колісного транспортного засобу (VIN), виданого національною організацією України, уповноваженою на ведення реєстрації та присвоєння міжнародного ідентифікаційного коду виробника (WMI);</w:t>
      </w:r>
    </w:p>
    <w:p w:rsidR="001147AC" w:rsidRDefault="00CC3409" w:rsidP="00CC3409">
      <w:pPr>
        <w:ind w:firstLine="700"/>
        <w:jc w:val="both"/>
      </w:pPr>
      <w:r>
        <w:t>5. С</w:t>
      </w:r>
      <w:r>
        <w:t>кан-копія довідки в довільній формі за власноручним підписом уповноваженої особи учасника та завіреної печаткою (у разі наявності) про відповідність запропонованого учасником товару технічним характеристикам предмета закупівлі, наведеним нижче:</w:t>
      </w:r>
    </w:p>
    <w:p w:rsidR="001147AC" w:rsidRDefault="00CC3409" w:rsidP="00CC3409">
      <w:pPr>
        <w:ind w:firstLine="700"/>
        <w:jc w:val="both"/>
      </w:pPr>
      <w:r>
        <w:t>Кількість –</w:t>
      </w:r>
      <w:r>
        <w:t xml:space="preserve"> 1 од.;</w:t>
      </w:r>
    </w:p>
    <w:p w:rsidR="001147AC" w:rsidRDefault="00CC3409" w:rsidP="00CC3409">
      <w:pPr>
        <w:ind w:firstLine="700"/>
        <w:jc w:val="both"/>
      </w:pPr>
      <w:r>
        <w:t>Рік виготовлення – 2016 р.;</w:t>
      </w:r>
    </w:p>
    <w:p w:rsidR="001147AC" w:rsidRDefault="00CC3409" w:rsidP="00CC3409">
      <w:pPr>
        <w:ind w:firstLine="700"/>
        <w:jc w:val="both"/>
      </w:pPr>
      <w:r>
        <w:t>Гарантійний період – 6 місяців або 250 м/годин на основні вузли та агрегати (двигун, КПП, КШМ, гідронасос та ін.)</w:t>
      </w:r>
    </w:p>
    <w:p w:rsidR="001147AC" w:rsidRDefault="00CC3409" w:rsidP="00CC3409">
      <w:pPr>
        <w:ind w:firstLine="700"/>
      </w:pPr>
      <w:r>
        <w:t>Технічні характеристики предмету закупівлі:</w:t>
      </w:r>
    </w:p>
    <w:p w:rsidR="001147AC" w:rsidRDefault="00CC3409" w:rsidP="00CC3409">
      <w:pPr>
        <w:ind w:firstLine="700"/>
        <w:rPr>
          <w:b/>
        </w:rPr>
      </w:pPr>
      <w:r>
        <w:t xml:space="preserve"> </w:t>
      </w:r>
      <w:r>
        <w:rPr>
          <w:b/>
        </w:rPr>
        <w:t>Рік випуску – 2016,  Б/У, напрацювання не більше 3 160 м/годин</w:t>
      </w:r>
    </w:p>
    <w:tbl>
      <w:tblPr>
        <w:tblStyle w:val="aa"/>
        <w:tblW w:w="9330" w:type="dxa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770"/>
        <w:gridCol w:w="1560"/>
      </w:tblGrid>
      <w:tr w:rsidR="001147AC">
        <w:trPr>
          <w:trHeight w:val="171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r>
              <w:t>Максимальна вантажопідйомність, кг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pPr>
              <w:jc w:val="center"/>
            </w:pPr>
            <w:r>
              <w:t>3 100</w:t>
            </w:r>
          </w:p>
        </w:tc>
      </w:tr>
      <w:tr w:rsidR="001147AC">
        <w:trPr>
          <w:trHeight w:val="171"/>
        </w:trPr>
        <w:tc>
          <w:tcPr>
            <w:tcW w:w="7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r>
              <w:t>Максимальна висота підйому,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pPr>
              <w:jc w:val="center"/>
            </w:pPr>
            <w:r>
              <w:t>7</w:t>
            </w:r>
          </w:p>
        </w:tc>
      </w:tr>
      <w:tr w:rsidR="001147AC">
        <w:trPr>
          <w:trHeight w:val="171"/>
        </w:trPr>
        <w:tc>
          <w:tcPr>
            <w:tcW w:w="7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r>
              <w:t>Вантажопідйомність на максимальній висоті, 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pPr>
              <w:jc w:val="center"/>
            </w:pPr>
            <w:r>
              <w:t>2 400</w:t>
            </w:r>
          </w:p>
        </w:tc>
      </w:tr>
      <w:tr w:rsidR="001147AC">
        <w:trPr>
          <w:trHeight w:val="171"/>
        </w:trPr>
        <w:tc>
          <w:tcPr>
            <w:tcW w:w="7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r>
              <w:t>Вантажопідйомність на максимальному вильоті, 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pPr>
              <w:jc w:val="center"/>
            </w:pPr>
            <w:r>
              <w:t>1 250</w:t>
            </w:r>
          </w:p>
        </w:tc>
      </w:tr>
      <w:tr w:rsidR="001147AC">
        <w:trPr>
          <w:trHeight w:val="171"/>
        </w:trPr>
        <w:tc>
          <w:tcPr>
            <w:tcW w:w="7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r>
              <w:t>Гідравлічний насос аксіально-поршневий, л / хв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pPr>
              <w:jc w:val="center"/>
            </w:pPr>
            <w:r>
              <w:t>140</w:t>
            </w:r>
          </w:p>
        </w:tc>
      </w:tr>
      <w:tr w:rsidR="001147AC">
        <w:trPr>
          <w:trHeight w:val="171"/>
        </w:trPr>
        <w:tc>
          <w:tcPr>
            <w:tcW w:w="7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r>
              <w:t>Ємкість гідравлічного баку, 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pPr>
              <w:jc w:val="center"/>
            </w:pPr>
            <w:r>
              <w:t>113</w:t>
            </w:r>
          </w:p>
        </w:tc>
      </w:tr>
      <w:tr w:rsidR="001147AC">
        <w:trPr>
          <w:trHeight w:val="171"/>
        </w:trPr>
        <w:tc>
          <w:tcPr>
            <w:tcW w:w="7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r>
              <w:t>Ємкість баку, 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pPr>
              <w:jc w:val="center"/>
            </w:pPr>
            <w:r>
              <w:t>146</w:t>
            </w:r>
          </w:p>
        </w:tc>
      </w:tr>
      <w:tr w:rsidR="001147AC">
        <w:trPr>
          <w:trHeight w:val="171"/>
        </w:trPr>
        <w:tc>
          <w:tcPr>
            <w:tcW w:w="7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r>
              <w:t>Максимальний виліт вперед,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pPr>
              <w:jc w:val="center"/>
            </w:pPr>
            <w:r>
              <w:t>3,7</w:t>
            </w:r>
          </w:p>
        </w:tc>
      </w:tr>
      <w:tr w:rsidR="001147AC">
        <w:trPr>
          <w:trHeight w:val="171"/>
        </w:trPr>
        <w:tc>
          <w:tcPr>
            <w:tcW w:w="7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r>
              <w:t>Експлуатаційна маса, 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pPr>
              <w:jc w:val="center"/>
            </w:pPr>
            <w:r>
              <w:t>6 900</w:t>
            </w:r>
          </w:p>
        </w:tc>
      </w:tr>
      <w:tr w:rsidR="001147AC">
        <w:trPr>
          <w:trHeight w:val="171"/>
        </w:trPr>
        <w:tc>
          <w:tcPr>
            <w:tcW w:w="9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pPr>
              <w:jc w:val="center"/>
            </w:pPr>
            <w:r>
              <w:t xml:space="preserve"> </w:t>
            </w:r>
          </w:p>
          <w:p w:rsidR="001147AC" w:rsidRDefault="00CC3409" w:rsidP="00CC3409">
            <w:pPr>
              <w:jc w:val="center"/>
            </w:pPr>
            <w:r>
              <w:t xml:space="preserve">Двигун JCB </w:t>
            </w:r>
            <w:proofErr w:type="spellStart"/>
            <w:r>
              <w:t>Dieselmax</w:t>
            </w:r>
            <w:proofErr w:type="spellEnd"/>
            <w:r>
              <w:t xml:space="preserve"> 4,4 л, механічний </w:t>
            </w:r>
            <w:proofErr w:type="spellStart"/>
            <w:r>
              <w:t>вприск</w:t>
            </w:r>
            <w:proofErr w:type="spellEnd"/>
            <w:r>
              <w:t>, турбований</w:t>
            </w:r>
          </w:p>
          <w:p w:rsidR="001147AC" w:rsidRDefault="00CC3409" w:rsidP="00CC3409">
            <w:pPr>
              <w:jc w:val="center"/>
            </w:pPr>
            <w:r>
              <w:t xml:space="preserve"> </w:t>
            </w:r>
          </w:p>
        </w:tc>
      </w:tr>
      <w:tr w:rsidR="001147AC">
        <w:trPr>
          <w:trHeight w:val="171"/>
        </w:trPr>
        <w:tc>
          <w:tcPr>
            <w:tcW w:w="7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r>
              <w:t>Потужність - 2 200об / хв, к.с. / кВт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pPr>
              <w:jc w:val="center"/>
            </w:pPr>
            <w:r>
              <w:t>55</w:t>
            </w:r>
          </w:p>
        </w:tc>
      </w:tr>
      <w:tr w:rsidR="001147AC">
        <w:trPr>
          <w:trHeight w:val="171"/>
        </w:trPr>
        <w:tc>
          <w:tcPr>
            <w:tcW w:w="7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r>
              <w:t>Макс. транспортна швидкість, км /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pPr>
              <w:jc w:val="center"/>
            </w:pPr>
            <w:r>
              <w:t>33</w:t>
            </w:r>
          </w:p>
        </w:tc>
      </w:tr>
      <w:tr w:rsidR="001147AC">
        <w:trPr>
          <w:trHeight w:val="171"/>
        </w:trPr>
        <w:tc>
          <w:tcPr>
            <w:tcW w:w="7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r>
              <w:t>Зовнішній радіус розвороту,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pPr>
              <w:jc w:val="center"/>
            </w:pPr>
            <w:r>
              <w:t>3,7</w:t>
            </w:r>
          </w:p>
        </w:tc>
      </w:tr>
      <w:tr w:rsidR="001147AC">
        <w:trPr>
          <w:trHeight w:val="171"/>
        </w:trPr>
        <w:tc>
          <w:tcPr>
            <w:tcW w:w="7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r>
              <w:t>Габаритна ширина,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pPr>
              <w:jc w:val="center"/>
            </w:pPr>
            <w:r>
              <w:t>2,29</w:t>
            </w:r>
          </w:p>
        </w:tc>
      </w:tr>
      <w:tr w:rsidR="001147AC">
        <w:trPr>
          <w:trHeight w:val="171"/>
        </w:trPr>
        <w:tc>
          <w:tcPr>
            <w:tcW w:w="7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r>
              <w:t>Габаритна довжина,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pPr>
              <w:jc w:val="center"/>
            </w:pPr>
            <w:r>
              <w:t>4,99</w:t>
            </w:r>
          </w:p>
        </w:tc>
      </w:tr>
      <w:tr w:rsidR="001147AC">
        <w:trPr>
          <w:trHeight w:val="171"/>
        </w:trPr>
        <w:tc>
          <w:tcPr>
            <w:tcW w:w="7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r>
              <w:t>Габаритна висота,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pPr>
              <w:jc w:val="center"/>
            </w:pPr>
            <w:r>
              <w:t>2,49</w:t>
            </w:r>
          </w:p>
        </w:tc>
      </w:tr>
      <w:tr w:rsidR="001147AC">
        <w:trPr>
          <w:trHeight w:val="171"/>
        </w:trPr>
        <w:tc>
          <w:tcPr>
            <w:tcW w:w="7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r>
              <w:t>Дорожній просвіт,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AC" w:rsidRDefault="00CC3409" w:rsidP="00CC3409">
            <w:pPr>
              <w:jc w:val="center"/>
            </w:pPr>
            <w:r>
              <w:t>0,4</w:t>
            </w:r>
          </w:p>
        </w:tc>
      </w:tr>
    </w:tbl>
    <w:p w:rsidR="001147AC" w:rsidRDefault="00CC3409" w:rsidP="00CC3409">
      <w:pPr>
        <w:shd w:val="clear" w:color="auto" w:fill="FFFFFF"/>
        <w:rPr>
          <w:b/>
        </w:rPr>
      </w:pPr>
      <w:r>
        <w:rPr>
          <w:b/>
        </w:rPr>
        <w:t xml:space="preserve"> </w:t>
      </w:r>
    </w:p>
    <w:p w:rsidR="001147AC" w:rsidRPr="00CC3409" w:rsidRDefault="00CC3409" w:rsidP="00CC3409">
      <w:pPr>
        <w:rPr>
          <w:b/>
          <w:sz w:val="28"/>
          <w:szCs w:val="28"/>
        </w:rPr>
      </w:pPr>
      <w:r>
        <w:rPr>
          <w:b/>
          <w:u w:val="single"/>
        </w:rPr>
        <w:t>В комплекті:</w:t>
      </w:r>
      <w:r>
        <w:rPr>
          <w:b/>
        </w:rPr>
        <w:t xml:space="preserve"> </w:t>
      </w:r>
      <w:proofErr w:type="spellStart"/>
      <w:r>
        <w:rPr>
          <w:b/>
        </w:rPr>
        <w:t>палетні</w:t>
      </w:r>
      <w:proofErr w:type="spellEnd"/>
      <w:r>
        <w:rPr>
          <w:b/>
        </w:rPr>
        <w:t xml:space="preserve"> вила, ківш-1,5 м</w:t>
      </w:r>
      <w:r>
        <w:rPr>
          <w:b/>
          <w:vertAlign w:val="superscript"/>
        </w:rPr>
        <w:t xml:space="preserve">3 </w:t>
      </w:r>
      <w:bookmarkStart w:id="0" w:name="_GoBack"/>
      <w:bookmarkEnd w:id="0"/>
      <w:r>
        <w:t>»</w:t>
      </w:r>
    </w:p>
    <w:p w:rsidR="001147AC" w:rsidRDefault="001147AC">
      <w:pPr>
        <w:ind w:firstLine="709"/>
        <w:jc w:val="both"/>
      </w:pPr>
      <w:bookmarkStart w:id="1" w:name="_heading=h.gjdgxs" w:colFirst="0" w:colLast="0"/>
      <w:bookmarkEnd w:id="1"/>
    </w:p>
    <w:p w:rsidR="001147AC" w:rsidRDefault="00CC3409">
      <w:pPr>
        <w:ind w:firstLine="709"/>
        <w:jc w:val="both"/>
      </w:pPr>
      <w:r>
        <w:t xml:space="preserve">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 само переліку змін, що вносяться до документації, у вигляді </w:t>
      </w:r>
      <w:r>
        <w:t>окремого документу у порядку, передбачено статтями 10 та 24 Закону.</w:t>
      </w:r>
    </w:p>
    <w:p w:rsidR="001147AC" w:rsidRDefault="001147AC">
      <w:pPr>
        <w:ind w:firstLine="700"/>
        <w:rPr>
          <w:b/>
          <w:sz w:val="28"/>
          <w:szCs w:val="28"/>
        </w:rPr>
      </w:pPr>
      <w:bookmarkStart w:id="2" w:name="_heading=h.30j0zll" w:colFirst="0" w:colLast="0"/>
      <w:bookmarkEnd w:id="2"/>
    </w:p>
    <w:p w:rsidR="001147AC" w:rsidRDefault="001147AC">
      <w:pPr>
        <w:ind w:firstLine="700"/>
        <w:rPr>
          <w:b/>
          <w:sz w:val="28"/>
          <w:szCs w:val="28"/>
        </w:rPr>
      </w:pPr>
    </w:p>
    <w:p w:rsidR="001147AC" w:rsidRDefault="00CC3409">
      <w:pPr>
        <w:ind w:firstLine="700"/>
      </w:pPr>
      <w:bookmarkStart w:id="3" w:name="_heading=h.cx4h9lxicvkn" w:colFirst="0" w:colLast="0"/>
      <w:bookmarkEnd w:id="3"/>
      <w:r>
        <w:rPr>
          <w:b/>
          <w:color w:val="000000"/>
          <w:sz w:val="28"/>
          <w:szCs w:val="28"/>
        </w:rPr>
        <w:t xml:space="preserve">Уповноважена особа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__________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Роман ДЗЮБА</w:t>
      </w:r>
    </w:p>
    <w:sectPr w:rsidR="001147AC">
      <w:pgSz w:w="11910" w:h="16840"/>
      <w:pgMar w:top="709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47AC"/>
    <w:rsid w:val="001147AC"/>
    <w:rsid w:val="00C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sz w:val="36"/>
      <w:szCs w:val="36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aliases w:val="----,Elenco Normale,Список уровня 2,Number Bullets,List Paragraph (numbered (a)),название табл/рис,Chapter10,EBRD List,заголовок 1.1,AC List 01"/>
    <w:basedOn w:val="a"/>
    <w:link w:val="a7"/>
    <w:uiPriority w:val="34"/>
    <w:qFormat/>
    <w:rsid w:val="00790A2F"/>
    <w:pPr>
      <w:ind w:left="720"/>
      <w:contextualSpacing/>
    </w:pPr>
    <w:rPr>
      <w:rFonts w:ascii="Calibri" w:hAnsi="Calibri"/>
      <w:lang w:val="en-US" w:eastAsia="en-US"/>
    </w:rPr>
  </w:style>
  <w:style w:type="paragraph" w:styleId="a8">
    <w:name w:val="No Spacing"/>
    <w:basedOn w:val="a"/>
    <w:uiPriority w:val="1"/>
    <w:qFormat/>
    <w:rsid w:val="00790A2F"/>
    <w:rPr>
      <w:rFonts w:ascii="Calibri" w:hAnsi="Calibri"/>
      <w:szCs w:val="32"/>
      <w:lang w:val="en-US" w:eastAsia="en-US"/>
    </w:rPr>
  </w:style>
  <w:style w:type="paragraph" w:customStyle="1" w:styleId="Default">
    <w:name w:val="Default"/>
    <w:rsid w:val="00790A2F"/>
    <w:pPr>
      <w:widowControl w:val="0"/>
      <w:autoSpaceDE w:val="0"/>
      <w:autoSpaceDN w:val="0"/>
      <w:adjustRightInd w:val="0"/>
      <w:spacing w:line="360" w:lineRule="atLeast"/>
      <w:jc w:val="both"/>
    </w:pPr>
    <w:rPr>
      <w:color w:val="000000"/>
      <w:szCs w:val="20"/>
      <w:lang w:val="ru-RU"/>
    </w:rPr>
  </w:style>
  <w:style w:type="character" w:customStyle="1" w:styleId="a7">
    <w:name w:val="Абзац списка Знак"/>
    <w:aliases w:val="---- Знак,Elenco Normale Знак,Список уровня 2 Знак,Number Bullets Знак,List Paragraph (numbered (a)) Знак,название табл/рис Знак,Chapter10 Знак,EBRD List Знак,заголовок 1.1 Знак,AC List 01 Знак"/>
    <w:link w:val="a6"/>
    <w:uiPriority w:val="34"/>
    <w:locked/>
    <w:rsid w:val="00790A2F"/>
    <w:rPr>
      <w:rFonts w:ascii="Calibri" w:hAnsi="Calibri"/>
      <w:lang w:val="en-US" w:eastAsia="en-US"/>
    </w:rPr>
  </w:style>
  <w:style w:type="character" w:customStyle="1" w:styleId="xfm87384903">
    <w:name w:val="xfm_87384903"/>
    <w:basedOn w:val="a0"/>
    <w:rsid w:val="00790A2F"/>
  </w:style>
  <w:style w:type="table" w:customStyle="1" w:styleId="a9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sz w:val="36"/>
      <w:szCs w:val="36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aliases w:val="----,Elenco Normale,Список уровня 2,Number Bullets,List Paragraph (numbered (a)),название табл/рис,Chapter10,EBRD List,заголовок 1.1,AC List 01"/>
    <w:basedOn w:val="a"/>
    <w:link w:val="a7"/>
    <w:uiPriority w:val="34"/>
    <w:qFormat/>
    <w:rsid w:val="00790A2F"/>
    <w:pPr>
      <w:ind w:left="720"/>
      <w:contextualSpacing/>
    </w:pPr>
    <w:rPr>
      <w:rFonts w:ascii="Calibri" w:hAnsi="Calibri"/>
      <w:lang w:val="en-US" w:eastAsia="en-US"/>
    </w:rPr>
  </w:style>
  <w:style w:type="paragraph" w:styleId="a8">
    <w:name w:val="No Spacing"/>
    <w:basedOn w:val="a"/>
    <w:uiPriority w:val="1"/>
    <w:qFormat/>
    <w:rsid w:val="00790A2F"/>
    <w:rPr>
      <w:rFonts w:ascii="Calibri" w:hAnsi="Calibri"/>
      <w:szCs w:val="32"/>
      <w:lang w:val="en-US" w:eastAsia="en-US"/>
    </w:rPr>
  </w:style>
  <w:style w:type="paragraph" w:customStyle="1" w:styleId="Default">
    <w:name w:val="Default"/>
    <w:rsid w:val="00790A2F"/>
    <w:pPr>
      <w:widowControl w:val="0"/>
      <w:autoSpaceDE w:val="0"/>
      <w:autoSpaceDN w:val="0"/>
      <w:adjustRightInd w:val="0"/>
      <w:spacing w:line="360" w:lineRule="atLeast"/>
      <w:jc w:val="both"/>
    </w:pPr>
    <w:rPr>
      <w:color w:val="000000"/>
      <w:szCs w:val="20"/>
      <w:lang w:val="ru-RU"/>
    </w:rPr>
  </w:style>
  <w:style w:type="character" w:customStyle="1" w:styleId="a7">
    <w:name w:val="Абзац списка Знак"/>
    <w:aliases w:val="---- Знак,Elenco Normale Знак,Список уровня 2 Знак,Number Bullets Знак,List Paragraph (numbered (a)) Знак,название табл/рис Знак,Chapter10 Знак,EBRD List Знак,заголовок 1.1 Знак,AC List 01 Знак"/>
    <w:link w:val="a6"/>
    <w:uiPriority w:val="34"/>
    <w:locked/>
    <w:rsid w:val="00790A2F"/>
    <w:rPr>
      <w:rFonts w:ascii="Calibri" w:hAnsi="Calibri"/>
      <w:lang w:val="en-US" w:eastAsia="en-US"/>
    </w:rPr>
  </w:style>
  <w:style w:type="character" w:customStyle="1" w:styleId="xfm87384903">
    <w:name w:val="xfm_87384903"/>
    <w:basedOn w:val="a0"/>
    <w:rsid w:val="00790A2F"/>
  </w:style>
  <w:style w:type="table" w:customStyle="1" w:styleId="a9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Xg0QT7pwDxBe/quEQttte0Z5Lg==">CgMxLjAyCGguZ2pkZ3hzMgloLjMwajB6bGwyDmguY3g0aDlseGljdmtuOAByITEweGxKQTJFSWZIRXVvSi1LM2I0MlE4UmwwR0NNNndQUQ==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Y. Scherbak</dc:creator>
  <cp:lastModifiedBy>Anton Y. Scherbak</cp:lastModifiedBy>
  <cp:revision>2</cp:revision>
  <dcterms:created xsi:type="dcterms:W3CDTF">2024-01-26T10:09:00Z</dcterms:created>
  <dcterms:modified xsi:type="dcterms:W3CDTF">2024-02-22T14:27:00Z</dcterms:modified>
</cp:coreProperties>
</file>