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C28" w:rsidRPr="003E7252" w:rsidRDefault="009F7C28" w:rsidP="009F7C28">
      <w:pPr>
        <w:pStyle w:val="3"/>
        <w:spacing w:after="0"/>
        <w:ind w:left="0"/>
        <w:contextualSpacing/>
        <w:jc w:val="right"/>
        <w:rPr>
          <w:b/>
          <w:sz w:val="24"/>
          <w:szCs w:val="24"/>
        </w:rPr>
      </w:pPr>
      <w:r w:rsidRPr="003E7252">
        <w:rPr>
          <w:b/>
          <w:sz w:val="24"/>
          <w:szCs w:val="24"/>
        </w:rPr>
        <w:t>Додаток 4 до тендерної документації</w:t>
      </w:r>
    </w:p>
    <w:p w:rsidR="009F7C28" w:rsidRPr="003E7252" w:rsidRDefault="009F7C28" w:rsidP="009F7C28">
      <w:pPr>
        <w:pStyle w:val="Standard"/>
        <w:jc w:val="center"/>
        <w:rPr>
          <w:rFonts w:ascii="Times New Roman" w:hAnsi="Times New Roman" w:cs="Times New Roman"/>
          <w:b/>
          <w:lang w:val="uk-UA"/>
        </w:rPr>
      </w:pPr>
    </w:p>
    <w:p w:rsidR="009F7C28" w:rsidRPr="007D39D6" w:rsidRDefault="009F7C28" w:rsidP="009F7C28">
      <w:pPr>
        <w:jc w:val="center"/>
        <w:rPr>
          <w:b/>
        </w:rPr>
      </w:pPr>
      <w:r w:rsidRPr="007D39D6">
        <w:rPr>
          <w:b/>
        </w:rPr>
        <w:t>ІНФОРМАЦІЯ ПРО НЕОБХІДНІ ТЕХНІЧНІ ТА ЯКІСНІ ХАРАКТЕРИСТИКИ ПРЕДМЕТА ЗАКУПІВЛІ</w:t>
      </w:r>
    </w:p>
    <w:p w:rsidR="009F7C28" w:rsidRPr="00F13D4D" w:rsidRDefault="009F7C28" w:rsidP="009F7C28">
      <w:pPr>
        <w:jc w:val="center"/>
      </w:pPr>
    </w:p>
    <w:p w:rsidR="009F7C28" w:rsidRPr="00C865A2" w:rsidRDefault="009F7C28" w:rsidP="009F7C28">
      <w:pPr>
        <w:pStyle w:val="a3"/>
        <w:spacing w:before="0" w:beforeAutospacing="0" w:after="0"/>
        <w:ind w:firstLine="708"/>
        <w:jc w:val="both"/>
        <w:rPr>
          <w:lang w:val="uk-UA"/>
        </w:rPr>
      </w:pPr>
      <w:r w:rsidRPr="00F13D4D">
        <w:rPr>
          <w:bCs/>
          <w:lang w:val="uk-UA"/>
        </w:rPr>
        <w:t>Предмет закупівлі:</w:t>
      </w:r>
      <w:r w:rsidRPr="007D39D6">
        <w:rPr>
          <w:b/>
          <w:lang w:val="uk-UA" w:eastAsia="en-US"/>
        </w:rPr>
        <w:t xml:space="preserve"> </w:t>
      </w:r>
      <w:bookmarkStart w:id="0" w:name="_Hlk163560720"/>
      <w:bookmarkStart w:id="1" w:name="_GoBack"/>
      <w:r w:rsidR="000B12DC" w:rsidRPr="000B12DC">
        <w:rPr>
          <w:b/>
          <w:noProof/>
          <w:lang w:val="uk-UA"/>
        </w:rPr>
        <w:t>Код за ДК 021:2015 - 33140000-3 Медичні матеріали</w:t>
      </w:r>
      <w:r w:rsidR="00C865A2" w:rsidRPr="00C865A2">
        <w:rPr>
          <w:noProof/>
          <w:lang w:val="uk-UA"/>
        </w:rPr>
        <w:t xml:space="preserve"> (</w:t>
      </w:r>
      <w:r w:rsidR="00BC27FC" w:rsidRPr="00BC27FC">
        <w:rPr>
          <w:noProof/>
          <w:lang w:val="uk-UA"/>
        </w:rPr>
        <w:t>Багатошаровий стент, який використовується при стенозах брахіоцефальних відділів артерій при наявності неоднорідних атеросклеротичних бляшок чи диссекцій</w:t>
      </w:r>
      <w:r w:rsidR="000B12DC">
        <w:rPr>
          <w:noProof/>
          <w:lang w:val="uk-UA"/>
        </w:rPr>
        <w:t xml:space="preserve"> та с</w:t>
      </w:r>
      <w:r w:rsidR="000B12DC" w:rsidRPr="00AF45FF">
        <w:rPr>
          <w:noProof/>
          <w:lang w:val="uk-UA"/>
        </w:rPr>
        <w:t>піралі, що електролітично відокремлюються, мультідіаметральні, малого зовнішнього діаметру, гнучкі, проводяться та імплантуються через потіккерований мікрокатетер, мають широкий спектр використання для реконструктивних та деконструктивних операціях при різних за будовою церебральних аневризмах та у разі наявності ускладненой навігації по судинному руслу</w:t>
      </w:r>
      <w:r w:rsidR="000B12DC" w:rsidRPr="00C865A2">
        <w:rPr>
          <w:noProof/>
          <w:lang w:val="uk-UA"/>
        </w:rPr>
        <w:t xml:space="preserve"> (НК 024:2023 «60940 спіраль для емболізації судин головного мозку</w:t>
      </w:r>
      <w:r w:rsidR="000B12DC">
        <w:rPr>
          <w:noProof/>
          <w:lang w:val="uk-UA"/>
        </w:rPr>
        <w:t xml:space="preserve">, </w:t>
      </w:r>
      <w:r w:rsidR="00C865A2" w:rsidRPr="00C865A2">
        <w:rPr>
          <w:noProof/>
          <w:lang w:val="uk-UA"/>
        </w:rPr>
        <w:t>«</w:t>
      </w:r>
      <w:r w:rsidR="00BC27FC" w:rsidRPr="00BC27FC">
        <w:rPr>
          <w:lang w:val="uk-UA"/>
        </w:rPr>
        <w:t>45851 Металевий непокритий стент для сонної артерії</w:t>
      </w:r>
      <w:r w:rsidR="00C865A2" w:rsidRPr="00C865A2">
        <w:rPr>
          <w:noProof/>
          <w:lang w:val="uk-UA"/>
        </w:rPr>
        <w:t>»))</w:t>
      </w:r>
      <w:bookmarkEnd w:id="0"/>
      <w:bookmarkEnd w:id="1"/>
    </w:p>
    <w:tbl>
      <w:tblPr>
        <w:tblpPr w:leftFromText="180" w:rightFromText="180" w:vertAnchor="text"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111"/>
        <w:gridCol w:w="3096"/>
        <w:gridCol w:w="1325"/>
        <w:gridCol w:w="1275"/>
      </w:tblGrid>
      <w:tr w:rsidR="009F7C28" w:rsidRPr="007D39D6" w:rsidTr="00C83E8C">
        <w:trPr>
          <w:trHeight w:val="538"/>
        </w:trPr>
        <w:tc>
          <w:tcPr>
            <w:tcW w:w="657" w:type="dxa"/>
            <w:shd w:val="clear" w:color="auto" w:fill="auto"/>
          </w:tcPr>
          <w:p w:rsidR="009F7C28" w:rsidRPr="007D39D6" w:rsidRDefault="009F7C28" w:rsidP="00602AB4">
            <w:pPr>
              <w:tabs>
                <w:tab w:val="left" w:pos="3261"/>
              </w:tabs>
              <w:rPr>
                <w:b/>
                <w:color w:val="000000"/>
              </w:rPr>
            </w:pPr>
            <w:r w:rsidRPr="007D39D6">
              <w:rPr>
                <w:b/>
                <w:color w:val="000000"/>
              </w:rPr>
              <w:t>№ з/п</w:t>
            </w:r>
          </w:p>
        </w:tc>
        <w:tc>
          <w:tcPr>
            <w:tcW w:w="3111" w:type="dxa"/>
            <w:shd w:val="clear" w:color="auto" w:fill="auto"/>
          </w:tcPr>
          <w:p w:rsidR="009F7C28" w:rsidRPr="007D39D6" w:rsidRDefault="009F7C28" w:rsidP="00602AB4">
            <w:pPr>
              <w:tabs>
                <w:tab w:val="left" w:pos="3261"/>
              </w:tabs>
              <w:jc w:val="center"/>
              <w:rPr>
                <w:b/>
                <w:color w:val="000000"/>
              </w:rPr>
            </w:pPr>
            <w:r w:rsidRPr="007D39D6">
              <w:rPr>
                <w:b/>
                <w:color w:val="000000"/>
              </w:rPr>
              <w:t>Найменування</w:t>
            </w:r>
          </w:p>
        </w:tc>
        <w:tc>
          <w:tcPr>
            <w:tcW w:w="3096" w:type="dxa"/>
          </w:tcPr>
          <w:p w:rsidR="009F7C28" w:rsidRPr="007D39D6" w:rsidRDefault="009F7C28" w:rsidP="00602AB4">
            <w:pPr>
              <w:tabs>
                <w:tab w:val="left" w:pos="708"/>
              </w:tabs>
              <w:jc w:val="center"/>
              <w:rPr>
                <w:b/>
                <w:color w:val="000000"/>
              </w:rPr>
            </w:pPr>
            <w:r w:rsidRPr="007D39D6">
              <w:rPr>
                <w:b/>
              </w:rPr>
              <w:t>НК 024:2023</w:t>
            </w:r>
          </w:p>
        </w:tc>
        <w:tc>
          <w:tcPr>
            <w:tcW w:w="1325" w:type="dxa"/>
          </w:tcPr>
          <w:p w:rsidR="009F7C28" w:rsidRPr="007D39D6" w:rsidRDefault="009F7C28" w:rsidP="00602AB4">
            <w:pPr>
              <w:tabs>
                <w:tab w:val="left" w:pos="708"/>
              </w:tabs>
              <w:jc w:val="center"/>
              <w:rPr>
                <w:b/>
                <w:color w:val="000000"/>
              </w:rPr>
            </w:pPr>
            <w:r w:rsidRPr="007D39D6">
              <w:rPr>
                <w:b/>
                <w:color w:val="000000"/>
              </w:rPr>
              <w:t>Одиниця виміру</w:t>
            </w:r>
          </w:p>
        </w:tc>
        <w:tc>
          <w:tcPr>
            <w:tcW w:w="1275" w:type="dxa"/>
          </w:tcPr>
          <w:p w:rsidR="009F7C28" w:rsidRPr="007D39D6" w:rsidRDefault="009F7C28" w:rsidP="00602AB4">
            <w:pPr>
              <w:tabs>
                <w:tab w:val="left" w:pos="708"/>
              </w:tabs>
              <w:jc w:val="center"/>
              <w:rPr>
                <w:b/>
                <w:color w:val="000000"/>
              </w:rPr>
            </w:pPr>
            <w:r w:rsidRPr="007D39D6">
              <w:rPr>
                <w:b/>
                <w:color w:val="000000"/>
              </w:rPr>
              <w:t>Кількість</w:t>
            </w:r>
          </w:p>
        </w:tc>
      </w:tr>
      <w:tr w:rsidR="009F7C28" w:rsidRPr="007D39D6" w:rsidTr="00C83E8C">
        <w:trPr>
          <w:trHeight w:val="992"/>
        </w:trPr>
        <w:tc>
          <w:tcPr>
            <w:tcW w:w="657" w:type="dxa"/>
            <w:shd w:val="clear" w:color="auto" w:fill="auto"/>
          </w:tcPr>
          <w:p w:rsidR="009F7C28" w:rsidRPr="007D39D6" w:rsidRDefault="009F7C28" w:rsidP="00602AB4">
            <w:pPr>
              <w:tabs>
                <w:tab w:val="left" w:pos="3261"/>
              </w:tabs>
              <w:rPr>
                <w:b/>
                <w:color w:val="000000"/>
              </w:rPr>
            </w:pPr>
            <w:bookmarkStart w:id="2" w:name="_Hlk141886407"/>
            <w:r w:rsidRPr="007D39D6">
              <w:rPr>
                <w:b/>
                <w:color w:val="000000"/>
              </w:rPr>
              <w:t>1</w:t>
            </w:r>
          </w:p>
        </w:tc>
        <w:tc>
          <w:tcPr>
            <w:tcW w:w="3111" w:type="dxa"/>
            <w:shd w:val="clear" w:color="auto" w:fill="auto"/>
          </w:tcPr>
          <w:p w:rsidR="009F7C28" w:rsidRPr="007D39D6" w:rsidRDefault="00BC27FC" w:rsidP="00602AB4">
            <w:pPr>
              <w:tabs>
                <w:tab w:val="left" w:pos="5190"/>
              </w:tabs>
              <w:rPr>
                <w:color w:val="000000"/>
              </w:rPr>
            </w:pPr>
            <w:r w:rsidRPr="00BC27FC">
              <w:rPr>
                <w:noProof/>
              </w:rPr>
              <w:t>Багатошаровий стент</w:t>
            </w:r>
          </w:p>
        </w:tc>
        <w:tc>
          <w:tcPr>
            <w:tcW w:w="3096" w:type="dxa"/>
          </w:tcPr>
          <w:p w:rsidR="009F7C28" w:rsidRPr="007D39D6" w:rsidRDefault="00BC27FC" w:rsidP="00BC27FC">
            <w:r>
              <w:t>45851 Металевий непокритий стент для сонної артерії</w:t>
            </w:r>
          </w:p>
        </w:tc>
        <w:tc>
          <w:tcPr>
            <w:tcW w:w="1325" w:type="dxa"/>
          </w:tcPr>
          <w:p w:rsidR="009F7C28" w:rsidRPr="007D39D6" w:rsidRDefault="009F7C28" w:rsidP="00602AB4">
            <w:pPr>
              <w:tabs>
                <w:tab w:val="left" w:pos="708"/>
              </w:tabs>
              <w:jc w:val="center"/>
              <w:rPr>
                <w:color w:val="000000"/>
              </w:rPr>
            </w:pPr>
            <w:proofErr w:type="spellStart"/>
            <w:r w:rsidRPr="007D39D6">
              <w:rPr>
                <w:color w:val="000000"/>
              </w:rPr>
              <w:t>шт</w:t>
            </w:r>
            <w:proofErr w:type="spellEnd"/>
          </w:p>
        </w:tc>
        <w:tc>
          <w:tcPr>
            <w:tcW w:w="1275" w:type="dxa"/>
          </w:tcPr>
          <w:p w:rsidR="00DD5480" w:rsidRPr="007D39D6" w:rsidRDefault="00BC27FC" w:rsidP="00DD5480">
            <w:pPr>
              <w:tabs>
                <w:tab w:val="left" w:pos="708"/>
              </w:tabs>
              <w:jc w:val="center"/>
              <w:rPr>
                <w:color w:val="000000"/>
              </w:rPr>
            </w:pPr>
            <w:r>
              <w:rPr>
                <w:color w:val="000000"/>
              </w:rPr>
              <w:t>10</w:t>
            </w:r>
          </w:p>
        </w:tc>
      </w:tr>
      <w:tr w:rsidR="00C83E8C" w:rsidRPr="007D39D6" w:rsidTr="00C83E8C">
        <w:trPr>
          <w:trHeight w:val="1353"/>
        </w:trPr>
        <w:tc>
          <w:tcPr>
            <w:tcW w:w="657" w:type="dxa"/>
            <w:shd w:val="clear" w:color="auto" w:fill="auto"/>
          </w:tcPr>
          <w:p w:rsidR="00C83E8C" w:rsidRPr="007D39D6" w:rsidRDefault="00C83E8C" w:rsidP="00C83E8C">
            <w:pPr>
              <w:tabs>
                <w:tab w:val="left" w:pos="3261"/>
              </w:tabs>
              <w:rPr>
                <w:b/>
                <w:color w:val="000000"/>
              </w:rPr>
            </w:pPr>
            <w:r>
              <w:rPr>
                <w:b/>
                <w:color w:val="000000"/>
              </w:rPr>
              <w:t>2</w:t>
            </w:r>
          </w:p>
        </w:tc>
        <w:tc>
          <w:tcPr>
            <w:tcW w:w="3111" w:type="dxa"/>
            <w:shd w:val="clear" w:color="auto" w:fill="auto"/>
          </w:tcPr>
          <w:p w:rsidR="00C83E8C" w:rsidRPr="007D39D6" w:rsidRDefault="00C83E8C" w:rsidP="00C83E8C">
            <w:pPr>
              <w:tabs>
                <w:tab w:val="left" w:pos="5190"/>
              </w:tabs>
              <w:rPr>
                <w:color w:val="000000"/>
              </w:rPr>
            </w:pPr>
            <w:bookmarkStart w:id="3" w:name="_Hlk163557043"/>
            <w:r>
              <w:rPr>
                <w:color w:val="000000"/>
              </w:rPr>
              <w:t xml:space="preserve">Спіралі </w:t>
            </w:r>
            <w:bookmarkEnd w:id="3"/>
          </w:p>
        </w:tc>
        <w:tc>
          <w:tcPr>
            <w:tcW w:w="3096" w:type="dxa"/>
          </w:tcPr>
          <w:p w:rsidR="00C83E8C" w:rsidRPr="007D39D6" w:rsidRDefault="00C83E8C" w:rsidP="00C83E8C">
            <w:r w:rsidRPr="00ED7CC8">
              <w:t xml:space="preserve">60940 Спіраль для </w:t>
            </w:r>
            <w:proofErr w:type="spellStart"/>
            <w:r w:rsidRPr="00ED7CC8">
              <w:t>емболізації</w:t>
            </w:r>
            <w:proofErr w:type="spellEnd"/>
            <w:r w:rsidRPr="00ED7CC8">
              <w:t xml:space="preserve"> судин головного мозку</w:t>
            </w:r>
          </w:p>
        </w:tc>
        <w:tc>
          <w:tcPr>
            <w:tcW w:w="1325" w:type="dxa"/>
          </w:tcPr>
          <w:p w:rsidR="00C83E8C" w:rsidRPr="007D39D6" w:rsidRDefault="00C83E8C" w:rsidP="00C83E8C">
            <w:pPr>
              <w:tabs>
                <w:tab w:val="left" w:pos="708"/>
              </w:tabs>
              <w:jc w:val="center"/>
              <w:rPr>
                <w:color w:val="000000"/>
              </w:rPr>
            </w:pPr>
            <w:proofErr w:type="spellStart"/>
            <w:r w:rsidRPr="007D39D6">
              <w:rPr>
                <w:color w:val="000000"/>
              </w:rPr>
              <w:t>шт</w:t>
            </w:r>
            <w:proofErr w:type="spellEnd"/>
          </w:p>
        </w:tc>
        <w:tc>
          <w:tcPr>
            <w:tcW w:w="1275" w:type="dxa"/>
          </w:tcPr>
          <w:p w:rsidR="00C83E8C" w:rsidRPr="007D39D6" w:rsidRDefault="00C83E8C" w:rsidP="00C83E8C">
            <w:pPr>
              <w:tabs>
                <w:tab w:val="left" w:pos="708"/>
              </w:tabs>
              <w:jc w:val="center"/>
              <w:rPr>
                <w:color w:val="000000"/>
              </w:rPr>
            </w:pPr>
            <w:r>
              <w:rPr>
                <w:color w:val="000000"/>
              </w:rPr>
              <w:t>30</w:t>
            </w:r>
          </w:p>
        </w:tc>
      </w:tr>
      <w:bookmarkEnd w:id="2"/>
    </w:tbl>
    <w:p w:rsidR="009F7C28" w:rsidRPr="007D39D6" w:rsidRDefault="009F7C28" w:rsidP="009F7C28">
      <w:pPr>
        <w:jc w:val="both"/>
      </w:pPr>
    </w:p>
    <w:p w:rsidR="003F1CFB" w:rsidRPr="0088408C" w:rsidRDefault="00BC27FC" w:rsidP="003F1CFB">
      <w:pPr>
        <w:pStyle w:val="a5"/>
        <w:numPr>
          <w:ilvl w:val="0"/>
          <w:numId w:val="1"/>
        </w:numPr>
        <w:shd w:val="clear" w:color="auto" w:fill="FFFFFF"/>
        <w:contextualSpacing/>
        <w:jc w:val="both"/>
        <w:textAlignment w:val="baseline"/>
        <w:rPr>
          <w:b/>
        </w:rPr>
      </w:pPr>
      <w:proofErr w:type="spellStart"/>
      <w:r w:rsidRPr="00BC27FC">
        <w:rPr>
          <w:b/>
        </w:rPr>
        <w:t>Багатошаровий</w:t>
      </w:r>
      <w:proofErr w:type="spellEnd"/>
      <w:r w:rsidRPr="00BC27FC">
        <w:rPr>
          <w:b/>
        </w:rPr>
        <w:t xml:space="preserve"> стент</w:t>
      </w:r>
    </w:p>
    <w:tbl>
      <w:tblPr>
        <w:tblStyle w:val="a7"/>
        <w:tblW w:w="0" w:type="auto"/>
        <w:tblInd w:w="80" w:type="dxa"/>
        <w:tblLook w:val="04A0" w:firstRow="1" w:lastRow="0" w:firstColumn="1" w:lastColumn="0" w:noHBand="0" w:noVBand="1"/>
      </w:tblPr>
      <w:tblGrid>
        <w:gridCol w:w="537"/>
        <w:gridCol w:w="2677"/>
        <w:gridCol w:w="6277"/>
      </w:tblGrid>
      <w:tr w:rsidR="0088408C" w:rsidRPr="00742605" w:rsidTr="00A338D6">
        <w:tc>
          <w:tcPr>
            <w:tcW w:w="537" w:type="dxa"/>
            <w:vAlign w:val="center"/>
          </w:tcPr>
          <w:p w:rsidR="0088408C" w:rsidRPr="00742605" w:rsidRDefault="0088408C" w:rsidP="00AB5D1E">
            <w:pPr>
              <w:widowControl w:val="0"/>
              <w:autoSpaceDE w:val="0"/>
              <w:autoSpaceDN w:val="0"/>
              <w:adjustRightInd w:val="0"/>
              <w:jc w:val="center"/>
              <w:rPr>
                <w:b/>
              </w:rPr>
            </w:pPr>
            <w:r w:rsidRPr="00742605">
              <w:rPr>
                <w:b/>
              </w:rPr>
              <w:t>№ з/п</w:t>
            </w:r>
          </w:p>
        </w:tc>
        <w:tc>
          <w:tcPr>
            <w:tcW w:w="2677" w:type="dxa"/>
            <w:vAlign w:val="center"/>
          </w:tcPr>
          <w:p w:rsidR="0088408C" w:rsidRPr="00742605" w:rsidRDefault="0088408C" w:rsidP="00AB5D1E">
            <w:pPr>
              <w:widowControl w:val="0"/>
              <w:autoSpaceDE w:val="0"/>
              <w:autoSpaceDN w:val="0"/>
              <w:adjustRightInd w:val="0"/>
              <w:jc w:val="center"/>
              <w:rPr>
                <w:b/>
              </w:rPr>
            </w:pPr>
            <w:r w:rsidRPr="00742605">
              <w:rPr>
                <w:b/>
              </w:rPr>
              <w:t>Характеристика/ параметр</w:t>
            </w:r>
          </w:p>
        </w:tc>
        <w:tc>
          <w:tcPr>
            <w:tcW w:w="6277" w:type="dxa"/>
            <w:vAlign w:val="center"/>
          </w:tcPr>
          <w:p w:rsidR="0088408C" w:rsidRPr="00742605" w:rsidRDefault="0088408C" w:rsidP="00AB5D1E">
            <w:pPr>
              <w:widowControl w:val="0"/>
              <w:autoSpaceDE w:val="0"/>
              <w:autoSpaceDN w:val="0"/>
              <w:adjustRightInd w:val="0"/>
              <w:jc w:val="center"/>
              <w:rPr>
                <w:b/>
              </w:rPr>
            </w:pPr>
            <w:r w:rsidRPr="00742605">
              <w:rPr>
                <w:b/>
              </w:rPr>
              <w:t>Медико-технічні вимоги</w:t>
            </w:r>
          </w:p>
        </w:tc>
      </w:tr>
      <w:tr w:rsidR="00BC27FC" w:rsidRPr="00742605" w:rsidTr="00742605">
        <w:tc>
          <w:tcPr>
            <w:tcW w:w="537" w:type="dxa"/>
          </w:tcPr>
          <w:p w:rsidR="00BC27FC" w:rsidRPr="00742605" w:rsidRDefault="00BC27FC" w:rsidP="00BC27FC">
            <w:pPr>
              <w:jc w:val="center"/>
            </w:pPr>
            <w:r w:rsidRPr="00742605">
              <w:t>1</w:t>
            </w:r>
          </w:p>
        </w:tc>
        <w:tc>
          <w:tcPr>
            <w:tcW w:w="2677" w:type="dxa"/>
          </w:tcPr>
          <w:p w:rsidR="00BC27FC" w:rsidRPr="00EF58C1" w:rsidRDefault="00BC27FC" w:rsidP="00BC27FC">
            <w:r w:rsidRPr="00EF58C1">
              <w:t xml:space="preserve">Довжина катетера </w:t>
            </w:r>
          </w:p>
        </w:tc>
        <w:tc>
          <w:tcPr>
            <w:tcW w:w="6277" w:type="dxa"/>
          </w:tcPr>
          <w:p w:rsidR="00BC27FC" w:rsidRPr="00EF58C1" w:rsidRDefault="00BC27FC" w:rsidP="00BC27FC">
            <w:r w:rsidRPr="00EF58C1">
              <w:t xml:space="preserve">Довжина катетера має бути не менше, ніж 130 см. </w:t>
            </w:r>
          </w:p>
        </w:tc>
      </w:tr>
      <w:tr w:rsidR="00BC27FC" w:rsidRPr="00742605" w:rsidTr="00742605">
        <w:tc>
          <w:tcPr>
            <w:tcW w:w="537" w:type="dxa"/>
          </w:tcPr>
          <w:p w:rsidR="00BC27FC" w:rsidRPr="00742605" w:rsidRDefault="00BC27FC" w:rsidP="00BC27FC">
            <w:pPr>
              <w:jc w:val="center"/>
            </w:pPr>
            <w:r w:rsidRPr="00742605">
              <w:t>2</w:t>
            </w:r>
          </w:p>
        </w:tc>
        <w:tc>
          <w:tcPr>
            <w:tcW w:w="2677" w:type="dxa"/>
          </w:tcPr>
          <w:p w:rsidR="00BC27FC" w:rsidRPr="00EF58C1" w:rsidRDefault="00BC27FC" w:rsidP="00BC27FC">
            <w:r w:rsidRPr="00EF58C1">
              <w:t xml:space="preserve">Конфігурація </w:t>
            </w:r>
            <w:proofErr w:type="spellStart"/>
            <w:r w:rsidRPr="00EF58C1">
              <w:t>стенту</w:t>
            </w:r>
            <w:proofErr w:type="spellEnd"/>
            <w:r w:rsidRPr="00EF58C1">
              <w:t xml:space="preserve"> </w:t>
            </w:r>
          </w:p>
        </w:tc>
        <w:tc>
          <w:tcPr>
            <w:tcW w:w="6277" w:type="dxa"/>
          </w:tcPr>
          <w:p w:rsidR="00BC27FC" w:rsidRPr="00EF58C1" w:rsidRDefault="00BC27FC" w:rsidP="00BC27FC">
            <w:r w:rsidRPr="00EF58C1">
              <w:t xml:space="preserve">Стент, що </w:t>
            </w:r>
            <w:proofErr w:type="spellStart"/>
            <w:r w:rsidRPr="00EF58C1">
              <w:t>саморозкривається</w:t>
            </w:r>
            <w:proofErr w:type="spellEnd"/>
            <w:r w:rsidRPr="00EF58C1">
              <w:t xml:space="preserve">. </w:t>
            </w:r>
          </w:p>
        </w:tc>
      </w:tr>
      <w:tr w:rsidR="00BC27FC" w:rsidRPr="00742605" w:rsidTr="00742605">
        <w:tc>
          <w:tcPr>
            <w:tcW w:w="537" w:type="dxa"/>
          </w:tcPr>
          <w:p w:rsidR="00BC27FC" w:rsidRPr="00742605" w:rsidRDefault="00BC27FC" w:rsidP="00BC27FC">
            <w:pPr>
              <w:jc w:val="center"/>
            </w:pPr>
            <w:r w:rsidRPr="00742605">
              <w:t>3</w:t>
            </w:r>
          </w:p>
        </w:tc>
        <w:tc>
          <w:tcPr>
            <w:tcW w:w="2677" w:type="dxa"/>
          </w:tcPr>
          <w:p w:rsidR="00BC27FC" w:rsidRPr="00EF58C1" w:rsidRDefault="00BC27FC" w:rsidP="00BC27FC">
            <w:r w:rsidRPr="00EF58C1">
              <w:t xml:space="preserve">Діапазон діаметрів </w:t>
            </w:r>
            <w:proofErr w:type="spellStart"/>
            <w:r w:rsidRPr="00EF58C1">
              <w:t>стенту</w:t>
            </w:r>
            <w:proofErr w:type="spellEnd"/>
            <w:r w:rsidRPr="00EF58C1">
              <w:t xml:space="preserve"> </w:t>
            </w:r>
          </w:p>
        </w:tc>
        <w:tc>
          <w:tcPr>
            <w:tcW w:w="6277" w:type="dxa"/>
          </w:tcPr>
          <w:p w:rsidR="00BC27FC" w:rsidRPr="00EF58C1" w:rsidRDefault="00BC27FC" w:rsidP="00BC27FC">
            <w:r w:rsidRPr="00EF58C1">
              <w:t xml:space="preserve">Від 6,0 мм до 10,0 мм з кроком не більше 1,0 мм. </w:t>
            </w:r>
          </w:p>
        </w:tc>
      </w:tr>
      <w:tr w:rsidR="00BC27FC" w:rsidRPr="00742605" w:rsidTr="00742605">
        <w:tc>
          <w:tcPr>
            <w:tcW w:w="537" w:type="dxa"/>
          </w:tcPr>
          <w:p w:rsidR="00BC27FC" w:rsidRPr="00742605" w:rsidRDefault="00BC27FC" w:rsidP="00BC27FC">
            <w:pPr>
              <w:jc w:val="center"/>
            </w:pPr>
            <w:r w:rsidRPr="00742605">
              <w:t>4</w:t>
            </w:r>
          </w:p>
        </w:tc>
        <w:tc>
          <w:tcPr>
            <w:tcW w:w="2677" w:type="dxa"/>
          </w:tcPr>
          <w:p w:rsidR="00BC27FC" w:rsidRPr="00EF58C1" w:rsidRDefault="00BC27FC" w:rsidP="00BC27FC">
            <w:r w:rsidRPr="00EF58C1">
              <w:t xml:space="preserve">Діапазон довжин </w:t>
            </w:r>
            <w:proofErr w:type="spellStart"/>
            <w:r w:rsidRPr="00EF58C1">
              <w:t>стенту</w:t>
            </w:r>
            <w:proofErr w:type="spellEnd"/>
            <w:r w:rsidRPr="00EF58C1">
              <w:t xml:space="preserve"> </w:t>
            </w:r>
          </w:p>
        </w:tc>
        <w:tc>
          <w:tcPr>
            <w:tcW w:w="6277" w:type="dxa"/>
          </w:tcPr>
          <w:p w:rsidR="00BC27FC" w:rsidRPr="00EF58C1" w:rsidRDefault="00BC27FC" w:rsidP="00BC27FC">
            <w:r w:rsidRPr="00EF58C1">
              <w:t xml:space="preserve">Від 20 мм до 60 мм з кроком не більше 20 мм. </w:t>
            </w:r>
          </w:p>
        </w:tc>
      </w:tr>
      <w:tr w:rsidR="00BC27FC" w:rsidRPr="00742605" w:rsidTr="00742605">
        <w:tc>
          <w:tcPr>
            <w:tcW w:w="537" w:type="dxa"/>
          </w:tcPr>
          <w:p w:rsidR="00BC27FC" w:rsidRPr="00742605" w:rsidRDefault="00BC27FC" w:rsidP="00BC27FC">
            <w:pPr>
              <w:jc w:val="center"/>
            </w:pPr>
            <w:r w:rsidRPr="00742605">
              <w:t>5</w:t>
            </w:r>
          </w:p>
        </w:tc>
        <w:tc>
          <w:tcPr>
            <w:tcW w:w="2677" w:type="dxa"/>
          </w:tcPr>
          <w:p w:rsidR="00BC27FC" w:rsidRPr="00EF58C1" w:rsidRDefault="00BC27FC" w:rsidP="00BC27FC">
            <w:proofErr w:type="spellStart"/>
            <w:r w:rsidRPr="00EF58C1">
              <w:t>Ембопротекція</w:t>
            </w:r>
            <w:proofErr w:type="spellEnd"/>
            <w:r w:rsidRPr="00EF58C1">
              <w:t xml:space="preserve"> </w:t>
            </w:r>
          </w:p>
        </w:tc>
        <w:tc>
          <w:tcPr>
            <w:tcW w:w="6277" w:type="dxa"/>
          </w:tcPr>
          <w:p w:rsidR="00BC27FC" w:rsidRPr="00EF58C1" w:rsidRDefault="00BC27FC" w:rsidP="00BC27FC">
            <w:r w:rsidRPr="00EF58C1">
              <w:t xml:space="preserve">Стент повинен мати </w:t>
            </w:r>
            <w:proofErr w:type="spellStart"/>
            <w:r w:rsidRPr="00EF58C1">
              <w:t>бісумісну</w:t>
            </w:r>
            <w:proofErr w:type="spellEnd"/>
            <w:r w:rsidRPr="00EF58C1">
              <w:t xml:space="preserve"> сітку з </w:t>
            </w:r>
            <w:proofErr w:type="spellStart"/>
            <w:r w:rsidRPr="00EF58C1">
              <w:t>поліетилентетрафталату</w:t>
            </w:r>
            <w:proofErr w:type="spellEnd"/>
            <w:r w:rsidRPr="00EF58C1">
              <w:t xml:space="preserve"> для </w:t>
            </w:r>
            <w:proofErr w:type="spellStart"/>
            <w:r w:rsidRPr="00EF58C1">
              <w:t>вловлення</w:t>
            </w:r>
            <w:proofErr w:type="spellEnd"/>
            <w:r w:rsidRPr="00EF58C1">
              <w:t xml:space="preserve"> та щільного блокування тромбів біля стінки судини.</w:t>
            </w:r>
          </w:p>
        </w:tc>
      </w:tr>
      <w:tr w:rsidR="00BC27FC" w:rsidRPr="00742605" w:rsidTr="00742605">
        <w:tc>
          <w:tcPr>
            <w:tcW w:w="537" w:type="dxa"/>
          </w:tcPr>
          <w:p w:rsidR="00BC27FC" w:rsidRPr="00742605" w:rsidRDefault="00BC27FC" w:rsidP="00BC27FC">
            <w:pPr>
              <w:jc w:val="center"/>
            </w:pPr>
            <w:r w:rsidRPr="00742605">
              <w:t>6</w:t>
            </w:r>
          </w:p>
        </w:tc>
        <w:tc>
          <w:tcPr>
            <w:tcW w:w="2677" w:type="dxa"/>
          </w:tcPr>
          <w:p w:rsidR="00BC27FC" w:rsidRPr="00EF58C1" w:rsidRDefault="00BC27FC" w:rsidP="00BC27FC">
            <w:r w:rsidRPr="00EF58C1">
              <w:t xml:space="preserve">Матеріал, з якого виготовлено стенти </w:t>
            </w:r>
          </w:p>
        </w:tc>
        <w:tc>
          <w:tcPr>
            <w:tcW w:w="6277" w:type="dxa"/>
          </w:tcPr>
          <w:p w:rsidR="00BC27FC" w:rsidRPr="00EF58C1" w:rsidRDefault="00BC27FC" w:rsidP="00BC27FC">
            <w:r w:rsidRPr="00EF58C1">
              <w:t>Нікель-титановий (</w:t>
            </w:r>
            <w:proofErr w:type="spellStart"/>
            <w:r w:rsidRPr="00EF58C1">
              <w:t>нітинол</w:t>
            </w:r>
            <w:proofErr w:type="spellEnd"/>
            <w:r w:rsidRPr="00EF58C1">
              <w:t>) сплав (</w:t>
            </w:r>
            <w:proofErr w:type="spellStart"/>
            <w:r w:rsidRPr="00EF58C1">
              <w:t>Nitinol</w:t>
            </w:r>
            <w:proofErr w:type="spellEnd"/>
            <w:r w:rsidRPr="00EF58C1">
              <w:t xml:space="preserve">), або еквівалент. </w:t>
            </w:r>
          </w:p>
        </w:tc>
      </w:tr>
      <w:tr w:rsidR="00BC27FC" w:rsidRPr="00742605" w:rsidTr="00742605">
        <w:tc>
          <w:tcPr>
            <w:tcW w:w="537" w:type="dxa"/>
          </w:tcPr>
          <w:p w:rsidR="00BC27FC" w:rsidRPr="00742605" w:rsidRDefault="00BC27FC" w:rsidP="00BC27FC">
            <w:pPr>
              <w:jc w:val="center"/>
            </w:pPr>
            <w:r>
              <w:t>7</w:t>
            </w:r>
          </w:p>
        </w:tc>
        <w:tc>
          <w:tcPr>
            <w:tcW w:w="2677" w:type="dxa"/>
          </w:tcPr>
          <w:p w:rsidR="00BC27FC" w:rsidRPr="00EF58C1" w:rsidRDefault="00BC27FC" w:rsidP="00BC27FC">
            <w:r w:rsidRPr="00EF58C1">
              <w:t xml:space="preserve">Дизайн комірки </w:t>
            </w:r>
          </w:p>
        </w:tc>
        <w:tc>
          <w:tcPr>
            <w:tcW w:w="6277" w:type="dxa"/>
          </w:tcPr>
          <w:p w:rsidR="00BC27FC" w:rsidRPr="00EF58C1" w:rsidRDefault="00BC27FC" w:rsidP="00BC27FC">
            <w:r w:rsidRPr="00EF58C1">
              <w:t xml:space="preserve">Відкритий дизайн комірки </w:t>
            </w:r>
            <w:proofErr w:type="spellStart"/>
            <w:r w:rsidRPr="00EF58C1">
              <w:t>стенту</w:t>
            </w:r>
            <w:proofErr w:type="spellEnd"/>
            <w:r w:rsidRPr="00EF58C1">
              <w:t xml:space="preserve">. </w:t>
            </w:r>
          </w:p>
        </w:tc>
      </w:tr>
      <w:tr w:rsidR="00BC27FC" w:rsidRPr="00742605" w:rsidTr="00742605">
        <w:tc>
          <w:tcPr>
            <w:tcW w:w="537" w:type="dxa"/>
          </w:tcPr>
          <w:p w:rsidR="00BC27FC" w:rsidRPr="00742605" w:rsidRDefault="00BC27FC" w:rsidP="00BC27FC">
            <w:pPr>
              <w:jc w:val="center"/>
            </w:pPr>
            <w:r>
              <w:t>8</w:t>
            </w:r>
          </w:p>
        </w:tc>
        <w:tc>
          <w:tcPr>
            <w:tcW w:w="2677" w:type="dxa"/>
          </w:tcPr>
          <w:p w:rsidR="00BC27FC" w:rsidRPr="00EF58C1" w:rsidRDefault="00BC27FC" w:rsidP="00BC27FC">
            <w:r w:rsidRPr="00EF58C1">
              <w:t xml:space="preserve">Сумісність з провідником та інтродьюсером </w:t>
            </w:r>
          </w:p>
        </w:tc>
        <w:tc>
          <w:tcPr>
            <w:tcW w:w="6277" w:type="dxa"/>
          </w:tcPr>
          <w:p w:rsidR="00BC27FC" w:rsidRPr="00EF58C1" w:rsidRDefault="00BC27FC" w:rsidP="00BC27FC">
            <w:r w:rsidRPr="00EF58C1">
              <w:t xml:space="preserve">Діаметр сумісного провідника має становити 0,014", інтродьюсера - 6F. </w:t>
            </w:r>
          </w:p>
        </w:tc>
      </w:tr>
      <w:tr w:rsidR="00BC27FC" w:rsidRPr="00742605" w:rsidTr="00742605">
        <w:tc>
          <w:tcPr>
            <w:tcW w:w="537" w:type="dxa"/>
          </w:tcPr>
          <w:p w:rsidR="00BC27FC" w:rsidRPr="00742605" w:rsidRDefault="00BC27FC" w:rsidP="00BC27FC">
            <w:pPr>
              <w:jc w:val="center"/>
            </w:pPr>
            <w:r>
              <w:t>9</w:t>
            </w:r>
          </w:p>
        </w:tc>
        <w:tc>
          <w:tcPr>
            <w:tcW w:w="2677" w:type="dxa"/>
          </w:tcPr>
          <w:p w:rsidR="00BC27FC" w:rsidRPr="00EF58C1" w:rsidRDefault="00BC27FC" w:rsidP="00BC27FC">
            <w:r w:rsidRPr="00EF58C1">
              <w:t xml:space="preserve">Система доставки </w:t>
            </w:r>
          </w:p>
        </w:tc>
        <w:tc>
          <w:tcPr>
            <w:tcW w:w="6277" w:type="dxa"/>
          </w:tcPr>
          <w:p w:rsidR="00BC27FC" w:rsidRDefault="00BC27FC" w:rsidP="00BC27FC">
            <w:r w:rsidRPr="00EF58C1">
              <w:t>Система доставки швидкої заміни типу RX (</w:t>
            </w:r>
            <w:proofErr w:type="spellStart"/>
            <w:r w:rsidRPr="00EF58C1">
              <w:t>Rapid</w:t>
            </w:r>
            <w:proofErr w:type="spellEnd"/>
            <w:r w:rsidRPr="00EF58C1">
              <w:t xml:space="preserve"> Exchange) </w:t>
            </w:r>
          </w:p>
        </w:tc>
      </w:tr>
    </w:tbl>
    <w:p w:rsidR="009F7C28" w:rsidRDefault="009F7C28" w:rsidP="009F7C28">
      <w:pPr>
        <w:jc w:val="both"/>
        <w:rPr>
          <w:b/>
        </w:rPr>
      </w:pPr>
    </w:p>
    <w:p w:rsidR="00C83E8C" w:rsidRDefault="00C83E8C" w:rsidP="00C83E8C">
      <w:pPr>
        <w:pStyle w:val="a5"/>
        <w:numPr>
          <w:ilvl w:val="0"/>
          <w:numId w:val="1"/>
        </w:numPr>
        <w:jc w:val="both"/>
        <w:rPr>
          <w:b/>
        </w:rPr>
      </w:pPr>
      <w:proofErr w:type="spellStart"/>
      <w:r w:rsidRPr="00C83E8C">
        <w:rPr>
          <w:b/>
        </w:rPr>
        <w:t>Спіралі</w:t>
      </w:r>
      <w:proofErr w:type="spellEnd"/>
    </w:p>
    <w:tbl>
      <w:tblPr>
        <w:tblW w:w="952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656"/>
        <w:gridCol w:w="6334"/>
      </w:tblGrid>
      <w:tr w:rsidR="00C83E8C" w:rsidRPr="005B42FB" w:rsidTr="000B12DC">
        <w:tc>
          <w:tcPr>
            <w:tcW w:w="536" w:type="dxa"/>
            <w:shd w:val="clear" w:color="auto" w:fill="auto"/>
            <w:vAlign w:val="center"/>
          </w:tcPr>
          <w:p w:rsidR="00C83E8C" w:rsidRPr="005B42FB" w:rsidRDefault="00C83E8C" w:rsidP="00381FBC">
            <w:pPr>
              <w:widowControl w:val="0"/>
              <w:autoSpaceDE w:val="0"/>
              <w:autoSpaceDN w:val="0"/>
              <w:adjustRightInd w:val="0"/>
              <w:jc w:val="center"/>
              <w:rPr>
                <w:b/>
              </w:rPr>
            </w:pPr>
            <w:r w:rsidRPr="005B42FB">
              <w:rPr>
                <w:b/>
              </w:rPr>
              <w:t>№ з/п</w:t>
            </w:r>
          </w:p>
        </w:tc>
        <w:tc>
          <w:tcPr>
            <w:tcW w:w="2656" w:type="dxa"/>
            <w:shd w:val="clear" w:color="auto" w:fill="auto"/>
            <w:vAlign w:val="center"/>
          </w:tcPr>
          <w:p w:rsidR="00C83E8C" w:rsidRPr="005B42FB" w:rsidRDefault="00C83E8C" w:rsidP="00381FBC">
            <w:pPr>
              <w:widowControl w:val="0"/>
              <w:autoSpaceDE w:val="0"/>
              <w:autoSpaceDN w:val="0"/>
              <w:adjustRightInd w:val="0"/>
              <w:jc w:val="center"/>
              <w:rPr>
                <w:b/>
              </w:rPr>
            </w:pPr>
            <w:r w:rsidRPr="005B42FB">
              <w:rPr>
                <w:b/>
              </w:rPr>
              <w:t>Характеристика/ параметр</w:t>
            </w:r>
          </w:p>
        </w:tc>
        <w:tc>
          <w:tcPr>
            <w:tcW w:w="6334" w:type="dxa"/>
            <w:shd w:val="clear" w:color="auto" w:fill="auto"/>
            <w:vAlign w:val="center"/>
          </w:tcPr>
          <w:p w:rsidR="00C83E8C" w:rsidRPr="005B42FB" w:rsidRDefault="00C83E8C" w:rsidP="00381FBC">
            <w:pPr>
              <w:widowControl w:val="0"/>
              <w:autoSpaceDE w:val="0"/>
              <w:autoSpaceDN w:val="0"/>
              <w:adjustRightInd w:val="0"/>
              <w:jc w:val="center"/>
              <w:rPr>
                <w:b/>
              </w:rPr>
            </w:pPr>
            <w:r w:rsidRPr="005B42FB">
              <w:rPr>
                <w:b/>
              </w:rPr>
              <w:t>Медико-технічні вимоги</w:t>
            </w:r>
          </w:p>
        </w:tc>
      </w:tr>
      <w:tr w:rsidR="00C83E8C" w:rsidRPr="005B42FB" w:rsidTr="000B12DC">
        <w:tc>
          <w:tcPr>
            <w:tcW w:w="536" w:type="dxa"/>
            <w:shd w:val="clear" w:color="auto" w:fill="auto"/>
          </w:tcPr>
          <w:p w:rsidR="00C83E8C" w:rsidRPr="005B42FB" w:rsidRDefault="00C83E8C" w:rsidP="00381FBC">
            <w:pPr>
              <w:jc w:val="center"/>
            </w:pPr>
            <w:r w:rsidRPr="005B42FB">
              <w:t>1</w:t>
            </w:r>
          </w:p>
        </w:tc>
        <w:tc>
          <w:tcPr>
            <w:tcW w:w="2656" w:type="dxa"/>
            <w:shd w:val="clear" w:color="auto" w:fill="auto"/>
          </w:tcPr>
          <w:p w:rsidR="00C83E8C" w:rsidRPr="00AF45FF" w:rsidRDefault="00C83E8C" w:rsidP="00381FBC">
            <w:pPr>
              <w:pStyle w:val="TableParagraph"/>
              <w:rPr>
                <w:sz w:val="24"/>
                <w:szCs w:val="24"/>
                <w:lang w:val="uk-UA"/>
              </w:rPr>
            </w:pPr>
            <w:r w:rsidRPr="00AF45FF">
              <w:rPr>
                <w:sz w:val="24"/>
                <w:szCs w:val="24"/>
                <w:lang w:val="uk-UA"/>
              </w:rPr>
              <w:t>Система відділення</w:t>
            </w:r>
          </w:p>
          <w:p w:rsidR="00C83E8C" w:rsidRPr="00AF45FF" w:rsidRDefault="00C83E8C" w:rsidP="00381FBC">
            <w:pPr>
              <w:pStyle w:val="TableParagraph"/>
              <w:spacing w:line="264" w:lineRule="exact"/>
              <w:rPr>
                <w:sz w:val="24"/>
                <w:szCs w:val="24"/>
                <w:lang w:val="uk-UA"/>
              </w:rPr>
            </w:pPr>
            <w:proofErr w:type="spellStart"/>
            <w:r w:rsidRPr="00AF45FF">
              <w:rPr>
                <w:sz w:val="24"/>
                <w:szCs w:val="24"/>
                <w:lang w:val="uk-UA"/>
              </w:rPr>
              <w:lastRenderedPageBreak/>
              <w:t>мікроспіралей</w:t>
            </w:r>
            <w:proofErr w:type="spellEnd"/>
          </w:p>
        </w:tc>
        <w:tc>
          <w:tcPr>
            <w:tcW w:w="6334" w:type="dxa"/>
            <w:shd w:val="clear" w:color="auto" w:fill="auto"/>
          </w:tcPr>
          <w:p w:rsidR="00C83E8C" w:rsidRPr="00AF45FF" w:rsidRDefault="00C83E8C" w:rsidP="00381FBC">
            <w:pPr>
              <w:pStyle w:val="TableParagraph"/>
              <w:rPr>
                <w:sz w:val="24"/>
                <w:szCs w:val="24"/>
                <w:lang w:val="uk-UA"/>
              </w:rPr>
            </w:pPr>
            <w:r w:rsidRPr="00AF45FF">
              <w:rPr>
                <w:sz w:val="24"/>
                <w:szCs w:val="24"/>
                <w:lang w:val="uk-UA"/>
              </w:rPr>
              <w:lastRenderedPageBreak/>
              <w:t xml:space="preserve">Спіралі повинні відділятись під дією електричного </w:t>
            </w:r>
            <w:r w:rsidRPr="00AF45FF">
              <w:rPr>
                <w:sz w:val="24"/>
                <w:szCs w:val="24"/>
                <w:lang w:val="uk-UA"/>
              </w:rPr>
              <w:lastRenderedPageBreak/>
              <w:t>струму.</w:t>
            </w:r>
          </w:p>
        </w:tc>
      </w:tr>
      <w:tr w:rsidR="00C83E8C" w:rsidRPr="005B42FB" w:rsidTr="000B12DC">
        <w:tc>
          <w:tcPr>
            <w:tcW w:w="536" w:type="dxa"/>
            <w:shd w:val="clear" w:color="auto" w:fill="auto"/>
          </w:tcPr>
          <w:p w:rsidR="00C83E8C" w:rsidRPr="005B42FB" w:rsidRDefault="00C83E8C" w:rsidP="00381FBC">
            <w:pPr>
              <w:jc w:val="center"/>
            </w:pPr>
            <w:r w:rsidRPr="005B42FB">
              <w:lastRenderedPageBreak/>
              <w:t>2</w:t>
            </w:r>
          </w:p>
        </w:tc>
        <w:tc>
          <w:tcPr>
            <w:tcW w:w="2656" w:type="dxa"/>
            <w:shd w:val="clear" w:color="auto" w:fill="auto"/>
          </w:tcPr>
          <w:p w:rsidR="00C83E8C" w:rsidRPr="00AF45FF" w:rsidRDefault="00C83E8C" w:rsidP="00381FBC">
            <w:pPr>
              <w:pStyle w:val="TableParagraph"/>
              <w:spacing w:line="256" w:lineRule="exact"/>
              <w:rPr>
                <w:sz w:val="24"/>
                <w:szCs w:val="24"/>
                <w:lang w:val="uk-UA"/>
              </w:rPr>
            </w:pPr>
            <w:r w:rsidRPr="00AF45FF">
              <w:rPr>
                <w:sz w:val="24"/>
                <w:szCs w:val="24"/>
                <w:lang w:val="uk-UA"/>
              </w:rPr>
              <w:t>Матеріал виробу</w:t>
            </w:r>
          </w:p>
        </w:tc>
        <w:tc>
          <w:tcPr>
            <w:tcW w:w="6334" w:type="dxa"/>
            <w:shd w:val="clear" w:color="auto" w:fill="auto"/>
          </w:tcPr>
          <w:p w:rsidR="00C83E8C" w:rsidRPr="00AF45FF" w:rsidRDefault="00C83E8C" w:rsidP="00381FBC">
            <w:pPr>
              <w:pStyle w:val="TableParagraph"/>
              <w:spacing w:line="256" w:lineRule="exact"/>
              <w:rPr>
                <w:sz w:val="24"/>
                <w:szCs w:val="24"/>
                <w:lang w:val="uk-UA"/>
              </w:rPr>
            </w:pPr>
            <w:r w:rsidRPr="00AF45FF">
              <w:rPr>
                <w:sz w:val="24"/>
                <w:szCs w:val="24"/>
                <w:lang w:val="uk-UA"/>
              </w:rPr>
              <w:t>Вироби повинні бути виготовлені з платинового сплаву.</w:t>
            </w:r>
          </w:p>
        </w:tc>
      </w:tr>
      <w:tr w:rsidR="00C83E8C" w:rsidRPr="005B42FB" w:rsidTr="000B12DC">
        <w:tc>
          <w:tcPr>
            <w:tcW w:w="536" w:type="dxa"/>
            <w:shd w:val="clear" w:color="auto" w:fill="auto"/>
          </w:tcPr>
          <w:p w:rsidR="00C83E8C" w:rsidRPr="005B42FB" w:rsidRDefault="00C83E8C" w:rsidP="00381FBC">
            <w:pPr>
              <w:jc w:val="center"/>
            </w:pPr>
            <w:r w:rsidRPr="005B42FB">
              <w:t>3</w:t>
            </w:r>
          </w:p>
        </w:tc>
        <w:tc>
          <w:tcPr>
            <w:tcW w:w="2656" w:type="dxa"/>
            <w:shd w:val="clear" w:color="auto" w:fill="auto"/>
          </w:tcPr>
          <w:p w:rsidR="00C83E8C" w:rsidRPr="00AF45FF" w:rsidRDefault="00C83E8C" w:rsidP="00381FBC">
            <w:pPr>
              <w:pStyle w:val="TableParagraph"/>
              <w:spacing w:line="270" w:lineRule="exact"/>
              <w:rPr>
                <w:sz w:val="24"/>
                <w:szCs w:val="24"/>
                <w:lang w:val="uk-UA"/>
              </w:rPr>
            </w:pPr>
            <w:r w:rsidRPr="00AF45FF">
              <w:rPr>
                <w:sz w:val="24"/>
                <w:szCs w:val="24"/>
                <w:lang w:val="uk-UA"/>
              </w:rPr>
              <w:t>Стійкість до розтягування</w:t>
            </w:r>
          </w:p>
        </w:tc>
        <w:tc>
          <w:tcPr>
            <w:tcW w:w="6334" w:type="dxa"/>
            <w:shd w:val="clear" w:color="auto" w:fill="auto"/>
          </w:tcPr>
          <w:p w:rsidR="00C83E8C" w:rsidRPr="00AF45FF" w:rsidRDefault="00C83E8C" w:rsidP="00381FBC">
            <w:pPr>
              <w:pStyle w:val="TableParagraph"/>
              <w:spacing w:line="240" w:lineRule="auto"/>
              <w:rPr>
                <w:sz w:val="24"/>
                <w:szCs w:val="24"/>
                <w:lang w:val="uk-UA"/>
              </w:rPr>
            </w:pPr>
            <w:r w:rsidRPr="00AF45FF">
              <w:rPr>
                <w:sz w:val="24"/>
                <w:szCs w:val="24"/>
                <w:lang w:val="uk-UA"/>
              </w:rPr>
              <w:t xml:space="preserve">Для уникнення розтягування під час розташування або </w:t>
            </w:r>
            <w:proofErr w:type="spellStart"/>
            <w:r w:rsidRPr="00AF45FF">
              <w:rPr>
                <w:sz w:val="24"/>
                <w:szCs w:val="24"/>
                <w:lang w:val="uk-UA"/>
              </w:rPr>
              <w:t>перерозташування</w:t>
            </w:r>
            <w:proofErr w:type="spellEnd"/>
            <w:r w:rsidRPr="00AF45FF">
              <w:rPr>
                <w:sz w:val="24"/>
                <w:szCs w:val="24"/>
                <w:lang w:val="uk-UA"/>
              </w:rPr>
              <w:t xml:space="preserve"> </w:t>
            </w:r>
            <w:proofErr w:type="spellStart"/>
            <w:r w:rsidRPr="00AF45FF">
              <w:rPr>
                <w:sz w:val="24"/>
                <w:szCs w:val="24"/>
                <w:lang w:val="uk-UA"/>
              </w:rPr>
              <w:t>мікроспіраль</w:t>
            </w:r>
            <w:proofErr w:type="spellEnd"/>
            <w:r w:rsidRPr="00AF45FF">
              <w:rPr>
                <w:sz w:val="24"/>
                <w:szCs w:val="24"/>
                <w:lang w:val="uk-UA"/>
              </w:rPr>
              <w:t xml:space="preserve"> повинна бути стійкою до розтягування за рахунок внутрішнього хвилястого дроту.</w:t>
            </w:r>
          </w:p>
        </w:tc>
      </w:tr>
      <w:tr w:rsidR="00C83E8C" w:rsidRPr="005B42FB" w:rsidTr="000B12DC">
        <w:tc>
          <w:tcPr>
            <w:tcW w:w="536" w:type="dxa"/>
            <w:shd w:val="clear" w:color="auto" w:fill="auto"/>
          </w:tcPr>
          <w:p w:rsidR="00C83E8C" w:rsidRPr="005B42FB" w:rsidRDefault="00C83E8C" w:rsidP="00381FBC">
            <w:pPr>
              <w:jc w:val="center"/>
            </w:pPr>
            <w:r w:rsidRPr="005B42FB">
              <w:t>4</w:t>
            </w:r>
          </w:p>
        </w:tc>
        <w:tc>
          <w:tcPr>
            <w:tcW w:w="2656" w:type="dxa"/>
            <w:shd w:val="clear" w:color="auto" w:fill="auto"/>
          </w:tcPr>
          <w:p w:rsidR="00C83E8C" w:rsidRPr="00AF45FF" w:rsidRDefault="00C83E8C" w:rsidP="00381FBC">
            <w:pPr>
              <w:pStyle w:val="TableParagraph"/>
              <w:spacing w:line="256" w:lineRule="exact"/>
              <w:rPr>
                <w:sz w:val="24"/>
                <w:szCs w:val="24"/>
                <w:lang w:val="uk-UA"/>
              </w:rPr>
            </w:pPr>
            <w:r w:rsidRPr="00AF45FF">
              <w:rPr>
                <w:sz w:val="24"/>
                <w:szCs w:val="24"/>
                <w:lang w:val="uk-UA"/>
              </w:rPr>
              <w:t xml:space="preserve">Сумісні </w:t>
            </w:r>
            <w:proofErr w:type="spellStart"/>
            <w:r w:rsidRPr="00AF45FF">
              <w:rPr>
                <w:sz w:val="24"/>
                <w:szCs w:val="24"/>
                <w:lang w:val="uk-UA"/>
              </w:rPr>
              <w:t>мікрокатетери</w:t>
            </w:r>
            <w:proofErr w:type="spellEnd"/>
          </w:p>
        </w:tc>
        <w:tc>
          <w:tcPr>
            <w:tcW w:w="6334" w:type="dxa"/>
            <w:shd w:val="clear" w:color="auto" w:fill="auto"/>
          </w:tcPr>
          <w:p w:rsidR="00C83E8C" w:rsidRPr="00AF45FF" w:rsidRDefault="00C83E8C" w:rsidP="00381FBC">
            <w:pPr>
              <w:pStyle w:val="TableParagraph"/>
              <w:spacing w:line="256" w:lineRule="exact"/>
              <w:rPr>
                <w:sz w:val="24"/>
                <w:szCs w:val="24"/>
                <w:lang w:val="uk-UA"/>
              </w:rPr>
            </w:pPr>
            <w:proofErr w:type="spellStart"/>
            <w:r w:rsidRPr="00AF45FF">
              <w:rPr>
                <w:sz w:val="24"/>
                <w:szCs w:val="24"/>
                <w:lang w:val="uk-UA"/>
              </w:rPr>
              <w:t>Мікроспіралі</w:t>
            </w:r>
            <w:proofErr w:type="spellEnd"/>
            <w:r w:rsidRPr="00AF45FF">
              <w:rPr>
                <w:sz w:val="24"/>
                <w:szCs w:val="24"/>
                <w:lang w:val="uk-UA"/>
              </w:rPr>
              <w:t xml:space="preserve"> повинні бути сумісними з </w:t>
            </w:r>
            <w:proofErr w:type="spellStart"/>
            <w:r w:rsidRPr="00AF45FF">
              <w:rPr>
                <w:sz w:val="24"/>
                <w:szCs w:val="24"/>
                <w:lang w:val="uk-UA"/>
              </w:rPr>
              <w:t>мікрокатетерами</w:t>
            </w:r>
            <w:proofErr w:type="spellEnd"/>
            <w:r w:rsidRPr="00AF45FF">
              <w:rPr>
                <w:sz w:val="24"/>
                <w:szCs w:val="24"/>
                <w:lang w:val="uk-UA"/>
              </w:rPr>
              <w:t xml:space="preserve"> з внутрішнім просвітом 0,014”</w:t>
            </w:r>
          </w:p>
        </w:tc>
      </w:tr>
      <w:tr w:rsidR="00C83E8C" w:rsidRPr="005B42FB" w:rsidTr="000B12DC">
        <w:tc>
          <w:tcPr>
            <w:tcW w:w="536" w:type="dxa"/>
            <w:shd w:val="clear" w:color="auto" w:fill="auto"/>
          </w:tcPr>
          <w:p w:rsidR="00C83E8C" w:rsidRPr="005B42FB" w:rsidRDefault="00C83E8C" w:rsidP="00381FBC">
            <w:pPr>
              <w:jc w:val="center"/>
            </w:pPr>
            <w:r w:rsidRPr="005B42FB">
              <w:t>5</w:t>
            </w:r>
          </w:p>
        </w:tc>
        <w:tc>
          <w:tcPr>
            <w:tcW w:w="2656" w:type="dxa"/>
            <w:shd w:val="clear" w:color="auto" w:fill="auto"/>
          </w:tcPr>
          <w:p w:rsidR="00C83E8C" w:rsidRPr="00AF45FF" w:rsidRDefault="00C83E8C" w:rsidP="00381FBC">
            <w:pPr>
              <w:pStyle w:val="TableParagraph"/>
              <w:rPr>
                <w:sz w:val="24"/>
                <w:szCs w:val="24"/>
                <w:lang w:val="uk-UA"/>
              </w:rPr>
            </w:pPr>
            <w:r w:rsidRPr="00AF45FF">
              <w:rPr>
                <w:sz w:val="24"/>
                <w:szCs w:val="24"/>
                <w:lang w:val="uk-UA"/>
              </w:rPr>
              <w:t xml:space="preserve">Діаметр </w:t>
            </w:r>
            <w:proofErr w:type="spellStart"/>
            <w:r w:rsidRPr="00AF45FF">
              <w:rPr>
                <w:sz w:val="24"/>
                <w:szCs w:val="24"/>
                <w:lang w:val="uk-UA"/>
              </w:rPr>
              <w:t>мікроспіралі</w:t>
            </w:r>
            <w:proofErr w:type="spellEnd"/>
          </w:p>
        </w:tc>
        <w:tc>
          <w:tcPr>
            <w:tcW w:w="6334" w:type="dxa"/>
            <w:shd w:val="clear" w:color="auto" w:fill="auto"/>
          </w:tcPr>
          <w:p w:rsidR="00C83E8C" w:rsidRPr="00AF45FF" w:rsidRDefault="00C83E8C" w:rsidP="00381FBC">
            <w:pPr>
              <w:pStyle w:val="TableParagraph"/>
              <w:rPr>
                <w:sz w:val="24"/>
                <w:szCs w:val="24"/>
                <w:lang w:val="uk-UA"/>
              </w:rPr>
            </w:pPr>
            <w:r w:rsidRPr="00AF45FF">
              <w:rPr>
                <w:sz w:val="24"/>
                <w:szCs w:val="24"/>
                <w:lang w:val="uk-UA"/>
              </w:rPr>
              <w:t>Наявність широкого спектру діаметрів конфігурацій в межах від 2 мм до 16 мм.</w:t>
            </w:r>
          </w:p>
        </w:tc>
      </w:tr>
      <w:tr w:rsidR="00C83E8C" w:rsidRPr="005B42FB" w:rsidTr="000B12DC">
        <w:tc>
          <w:tcPr>
            <w:tcW w:w="536" w:type="dxa"/>
            <w:shd w:val="clear" w:color="auto" w:fill="auto"/>
          </w:tcPr>
          <w:p w:rsidR="00C83E8C" w:rsidRPr="005B42FB" w:rsidRDefault="00C83E8C" w:rsidP="00381FBC">
            <w:pPr>
              <w:jc w:val="center"/>
            </w:pPr>
            <w:r w:rsidRPr="005B42FB">
              <w:t>6</w:t>
            </w:r>
          </w:p>
        </w:tc>
        <w:tc>
          <w:tcPr>
            <w:tcW w:w="2656" w:type="dxa"/>
            <w:shd w:val="clear" w:color="auto" w:fill="auto"/>
          </w:tcPr>
          <w:p w:rsidR="00C83E8C" w:rsidRPr="00AF45FF" w:rsidRDefault="00C83E8C" w:rsidP="00381FBC">
            <w:pPr>
              <w:pStyle w:val="TableParagraph"/>
              <w:rPr>
                <w:sz w:val="24"/>
                <w:szCs w:val="24"/>
                <w:lang w:val="uk-UA"/>
              </w:rPr>
            </w:pPr>
            <w:r w:rsidRPr="00AF45FF">
              <w:rPr>
                <w:sz w:val="24"/>
                <w:szCs w:val="24"/>
                <w:lang w:val="uk-UA"/>
              </w:rPr>
              <w:t xml:space="preserve">Довжина </w:t>
            </w:r>
            <w:proofErr w:type="spellStart"/>
            <w:r w:rsidRPr="00AF45FF">
              <w:rPr>
                <w:sz w:val="24"/>
                <w:szCs w:val="24"/>
                <w:lang w:val="uk-UA"/>
              </w:rPr>
              <w:t>мікроспіралі</w:t>
            </w:r>
            <w:proofErr w:type="spellEnd"/>
          </w:p>
        </w:tc>
        <w:tc>
          <w:tcPr>
            <w:tcW w:w="6334" w:type="dxa"/>
            <w:shd w:val="clear" w:color="auto" w:fill="auto"/>
          </w:tcPr>
          <w:p w:rsidR="00C83E8C" w:rsidRPr="00AF45FF" w:rsidRDefault="00C83E8C" w:rsidP="00381FBC">
            <w:pPr>
              <w:pStyle w:val="TableParagraph"/>
              <w:rPr>
                <w:sz w:val="24"/>
                <w:szCs w:val="24"/>
                <w:lang w:val="uk-UA"/>
              </w:rPr>
            </w:pPr>
            <w:r w:rsidRPr="00AF45FF">
              <w:rPr>
                <w:sz w:val="24"/>
                <w:szCs w:val="24"/>
                <w:lang w:val="uk-UA"/>
              </w:rPr>
              <w:t>Наявність широкого спектру довжин в межах від 2 см до 30 см.</w:t>
            </w:r>
          </w:p>
        </w:tc>
      </w:tr>
    </w:tbl>
    <w:p w:rsidR="00C83E8C" w:rsidRPr="00C83E8C" w:rsidRDefault="00C83E8C" w:rsidP="00C83E8C">
      <w:pPr>
        <w:jc w:val="both"/>
        <w:rPr>
          <w:b/>
        </w:rPr>
      </w:pPr>
    </w:p>
    <w:p w:rsidR="009825A1" w:rsidRPr="009825A1" w:rsidRDefault="009825A1" w:rsidP="009825A1">
      <w:pPr>
        <w:jc w:val="both"/>
        <w:rPr>
          <w:b/>
        </w:rPr>
      </w:pPr>
    </w:p>
    <w:p w:rsidR="009F7C28" w:rsidRPr="007D39D6" w:rsidRDefault="009F7C28" w:rsidP="009F7C28">
      <w:pPr>
        <w:widowControl w:val="0"/>
        <w:ind w:firstLine="708"/>
        <w:jc w:val="both"/>
        <w:rPr>
          <w:color w:val="000000"/>
        </w:rPr>
      </w:pPr>
      <w:r w:rsidRPr="007D39D6">
        <w:rPr>
          <w:b/>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9F7C28" w:rsidRPr="007D39D6" w:rsidRDefault="009F7C28" w:rsidP="009F7C28">
      <w:pPr>
        <w:tabs>
          <w:tab w:val="left" w:pos="142"/>
          <w:tab w:val="left" w:pos="284"/>
        </w:tabs>
        <w:rPr>
          <w:i/>
        </w:rPr>
      </w:pPr>
    </w:p>
    <w:p w:rsidR="009F7C28" w:rsidRPr="009F7C28" w:rsidRDefault="009F7C28" w:rsidP="009F7C28">
      <w:pPr>
        <w:jc w:val="both"/>
      </w:pPr>
      <w:r w:rsidRPr="009F7C28">
        <w:rPr>
          <w:rStyle w:val="Arial3"/>
          <w:rFonts w:ascii="Times New Roman" w:hAnsi="Times New Roman"/>
          <w:bCs/>
          <w:sz w:val="24"/>
        </w:rPr>
        <w:t>Запропонований учасником товар повинен відповідати таким вимогам:</w:t>
      </w:r>
    </w:p>
    <w:p w:rsidR="009F7C28" w:rsidRPr="009F7C28" w:rsidRDefault="009F7C28" w:rsidP="009F7C28">
      <w:pPr>
        <w:pStyle w:val="HTML"/>
        <w:jc w:val="both"/>
        <w:rPr>
          <w:rFonts w:ascii="Times New Roman" w:hAnsi="Times New Roman"/>
          <w:b/>
          <w:i/>
          <w:sz w:val="24"/>
          <w:szCs w:val="24"/>
        </w:rPr>
      </w:pPr>
    </w:p>
    <w:p w:rsidR="009F7C28" w:rsidRPr="007D39D6" w:rsidRDefault="009F7C28" w:rsidP="009F7C28">
      <w:pPr>
        <w:jc w:val="both"/>
        <w:rPr>
          <w:bCs/>
        </w:rPr>
      </w:pPr>
      <w:r w:rsidRPr="007D39D6">
        <w:rPr>
          <w:bCs/>
        </w:rPr>
        <w:t>1. Медичні вироби повинні бути зареєстровані в Україні та дозволені для введення в обіг та/або експлуатацію (застосування) відповідно до законодавства України. Ця вимога засвідчується учаснику надати:</w:t>
      </w:r>
    </w:p>
    <w:p w:rsidR="009F7C28" w:rsidRPr="007D39D6" w:rsidRDefault="009F7C28" w:rsidP="009F7C28">
      <w:pPr>
        <w:jc w:val="both"/>
        <w:rPr>
          <w:bCs/>
        </w:rPr>
      </w:pPr>
      <w:r w:rsidRPr="007D39D6">
        <w:rPr>
          <w:bCs/>
        </w:rPr>
        <w:t xml:space="preserve">а) завіреною копією декларації або копією сертифікату відповідності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9F7C28" w:rsidRPr="007D39D6" w:rsidRDefault="009F7C28" w:rsidP="009F7C28">
      <w:pPr>
        <w:jc w:val="both"/>
        <w:rPr>
          <w:bCs/>
        </w:rPr>
      </w:pPr>
      <w:r w:rsidRPr="007D39D6">
        <w:rPr>
          <w:bCs/>
        </w:rPr>
        <w:t>2. Відповідність, чи невідповідність запропонованих товарів медико-технічним вимогам повинна бути підтверджена наданням таблиці відповідності; (Відповідність медико-технічних характеристик, запропонованого Учасником товару, повинна бути обов’язково підтверджена посиланням на відповідні розділи, та/або сторінку(и) технічного документу (настанови (інструкції) з експлуатації (застосування), буклету, каталогу тощо)  в якому міститься ця інформація разом з додаванням завірених його копій.)</w:t>
      </w:r>
    </w:p>
    <w:p w:rsidR="009F7C28" w:rsidRPr="007D39D6" w:rsidRDefault="009F7C28" w:rsidP="009F7C28">
      <w:pPr>
        <w:jc w:val="both"/>
      </w:pPr>
      <w:r w:rsidRPr="007D39D6">
        <w:rPr>
          <w:bCs/>
        </w:rPr>
        <w:t xml:space="preserve">3. </w:t>
      </w:r>
      <w:r w:rsidRPr="007D39D6">
        <w:rPr>
          <w:bCs/>
          <w:color w:val="000000"/>
        </w:rPr>
        <w:t xml:space="preserve">Учасник повинен надати </w:t>
      </w:r>
      <w:r w:rsidRPr="007D39D6">
        <w:t>гарантійний лист щодо строку придатності виробів, який на момент поставки складатиме  не менше 12 місяців від загального терміну придатності.</w:t>
      </w:r>
    </w:p>
    <w:p w:rsidR="009F7C28" w:rsidRPr="007D39D6" w:rsidRDefault="009F7C28" w:rsidP="009F7C28">
      <w:pPr>
        <w:widowControl w:val="0"/>
        <w:ind w:firstLine="709"/>
        <w:jc w:val="both"/>
        <w:rPr>
          <w:b/>
          <w:i/>
        </w:rPr>
      </w:pPr>
    </w:p>
    <w:p w:rsidR="009F7C28" w:rsidRPr="007D39D6" w:rsidRDefault="009F7C28" w:rsidP="009F7C28">
      <w:pPr>
        <w:widowControl w:val="0"/>
        <w:ind w:firstLine="709"/>
        <w:jc w:val="both"/>
        <w:rPr>
          <w:b/>
          <w:i/>
        </w:rPr>
      </w:pPr>
      <w:r w:rsidRPr="007D39D6">
        <w:rPr>
          <w:b/>
          <w:i/>
        </w:rPr>
        <w:t>У разі, якщо це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9F7C28" w:rsidRPr="003E7252" w:rsidRDefault="009F7C28" w:rsidP="009F7C28">
      <w:pPr>
        <w:tabs>
          <w:tab w:val="left" w:pos="8025"/>
        </w:tabs>
        <w:jc w:val="both"/>
        <w:rPr>
          <w:rFonts w:eastAsia="Arial"/>
          <w:i/>
          <w:kern w:val="2"/>
          <w:lang w:eastAsia="zh-CN"/>
        </w:rPr>
      </w:pPr>
    </w:p>
    <w:p w:rsidR="00F231B5" w:rsidRDefault="009F7C28" w:rsidP="009F7C28">
      <w:r w:rsidRPr="003E7252">
        <w:rPr>
          <w:rFonts w:eastAsia="Arial"/>
          <w:i/>
          <w:kern w:val="2"/>
          <w:lang w:eastAsia="zh-CN"/>
        </w:rPr>
        <w:t xml:space="preserve">     </w:t>
      </w:r>
      <w:r w:rsidR="005112C6" w:rsidRPr="003E7252">
        <w:rPr>
          <w:rFonts w:eastAsia="Arial"/>
          <w:i/>
          <w:kern w:val="2"/>
          <w:lang w:eastAsia="zh-CN"/>
        </w:rPr>
        <w:t xml:space="preserve">     </w:t>
      </w:r>
    </w:p>
    <w:sectPr w:rsidR="00F231B5" w:rsidSect="00F23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93576"/>
    <w:multiLevelType w:val="hybridMultilevel"/>
    <w:tmpl w:val="97FE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B774CF"/>
    <w:multiLevelType w:val="hybridMultilevel"/>
    <w:tmpl w:val="E0BC0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112C6"/>
    <w:rsid w:val="000B12DC"/>
    <w:rsid w:val="0018734F"/>
    <w:rsid w:val="003F1CFB"/>
    <w:rsid w:val="004A1779"/>
    <w:rsid w:val="005112C6"/>
    <w:rsid w:val="006171AC"/>
    <w:rsid w:val="00742605"/>
    <w:rsid w:val="008033E6"/>
    <w:rsid w:val="008163E4"/>
    <w:rsid w:val="00822BFD"/>
    <w:rsid w:val="0088408C"/>
    <w:rsid w:val="00952B9E"/>
    <w:rsid w:val="009825A1"/>
    <w:rsid w:val="009F2F06"/>
    <w:rsid w:val="009F7C28"/>
    <w:rsid w:val="00A338D6"/>
    <w:rsid w:val="00A44B77"/>
    <w:rsid w:val="00BC27FC"/>
    <w:rsid w:val="00C74EA2"/>
    <w:rsid w:val="00C77289"/>
    <w:rsid w:val="00C83E8C"/>
    <w:rsid w:val="00C865A2"/>
    <w:rsid w:val="00DD5480"/>
    <w:rsid w:val="00ED7CC8"/>
    <w:rsid w:val="00EF1DB4"/>
    <w:rsid w:val="00EF5288"/>
    <w:rsid w:val="00F13D4D"/>
    <w:rsid w:val="00F231B5"/>
    <w:rsid w:val="00F2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2174"/>
  <w15:docId w15:val="{E62C9946-E2C2-4D26-ABE3-80DB4B75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2C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51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qFormat/>
    <w:rsid w:val="005112C6"/>
    <w:rPr>
      <w:rFonts w:ascii="Courier New" w:eastAsia="Times New Roman" w:hAnsi="Courier New" w:cs="Times New Roman"/>
      <w:sz w:val="20"/>
      <w:szCs w:val="20"/>
    </w:rPr>
  </w:style>
  <w:style w:type="paragraph" w:styleId="a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4"/>
    <w:uiPriority w:val="99"/>
    <w:unhideWhenUsed/>
    <w:qFormat/>
    <w:rsid w:val="005112C6"/>
    <w:pPr>
      <w:spacing w:before="100" w:beforeAutospacing="1" w:after="100" w:afterAutospacing="1"/>
    </w:pPr>
    <w:rPr>
      <w:lang w:val="ru-RU"/>
    </w:rPr>
  </w:style>
  <w:style w:type="character" w:customStyle="1" w:styleId="a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locked/>
    <w:rsid w:val="005112C6"/>
    <w:rPr>
      <w:rFonts w:ascii="Times New Roman" w:eastAsia="Times New Roman" w:hAnsi="Times New Roman" w:cs="Times New Roman"/>
      <w:sz w:val="24"/>
      <w:szCs w:val="24"/>
      <w:lang w:eastAsia="ru-RU"/>
    </w:rPr>
  </w:style>
  <w:style w:type="paragraph" w:styleId="a5">
    <w:name w:val="List Paragraph"/>
    <w:aliases w:val="1 Буллет,Список уровня 2,Chapter10,название табл/рис,Elenco Normale"/>
    <w:basedOn w:val="a"/>
    <w:link w:val="a6"/>
    <w:uiPriority w:val="34"/>
    <w:qFormat/>
    <w:rsid w:val="005112C6"/>
    <w:pPr>
      <w:ind w:left="708"/>
    </w:pPr>
    <w:rPr>
      <w:rFonts w:eastAsia="SimSun"/>
      <w:lang w:val="ru-RU" w:eastAsia="en-US"/>
    </w:rPr>
  </w:style>
  <w:style w:type="paragraph" w:styleId="3">
    <w:name w:val="Body Text Indent 3"/>
    <w:basedOn w:val="a"/>
    <w:link w:val="30"/>
    <w:uiPriority w:val="99"/>
    <w:rsid w:val="005112C6"/>
    <w:pPr>
      <w:spacing w:after="120"/>
      <w:ind w:left="283"/>
    </w:pPr>
    <w:rPr>
      <w:sz w:val="16"/>
      <w:szCs w:val="16"/>
    </w:rPr>
  </w:style>
  <w:style w:type="character" w:customStyle="1" w:styleId="30">
    <w:name w:val="Основной текст с отступом 3 Знак"/>
    <w:basedOn w:val="a0"/>
    <w:link w:val="3"/>
    <w:uiPriority w:val="99"/>
    <w:rsid w:val="005112C6"/>
    <w:rPr>
      <w:rFonts w:ascii="Times New Roman" w:eastAsia="Times New Roman" w:hAnsi="Times New Roman" w:cs="Times New Roman"/>
      <w:sz w:val="16"/>
      <w:szCs w:val="16"/>
      <w:lang w:val="uk-UA"/>
    </w:rPr>
  </w:style>
  <w:style w:type="character" w:customStyle="1" w:styleId="a6">
    <w:name w:val="Абзац списка Знак"/>
    <w:aliases w:val="1 Буллет Знак,Список уровня 2 Знак,Chapter10 Знак,название табл/рис Знак,Elenco Normale Знак"/>
    <w:link w:val="a5"/>
    <w:uiPriority w:val="1"/>
    <w:rsid w:val="005112C6"/>
    <w:rPr>
      <w:rFonts w:ascii="Times New Roman" w:eastAsia="SimSun" w:hAnsi="Times New Roman" w:cs="Times New Roman"/>
      <w:sz w:val="24"/>
      <w:szCs w:val="24"/>
    </w:rPr>
  </w:style>
  <w:style w:type="paragraph" w:customStyle="1" w:styleId="Standard">
    <w:name w:val="Standard"/>
    <w:rsid w:val="005112C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ial3">
    <w:name w:val="Основной текст + Arial3"/>
    <w:qFormat/>
    <w:rsid w:val="005112C6"/>
    <w:rPr>
      <w:rFonts w:ascii="Arial" w:hAnsi="Arial"/>
      <w:color w:val="000000"/>
      <w:sz w:val="15"/>
      <w:shd w:val="clear" w:color="auto" w:fill="FFFFFF"/>
      <w:lang w:val="uk-UA" w:eastAsia="uk-UA"/>
    </w:rPr>
  </w:style>
  <w:style w:type="table" w:styleId="a7">
    <w:name w:val="Table Grid"/>
    <w:basedOn w:val="a1"/>
    <w:uiPriority w:val="39"/>
    <w:rsid w:val="008840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83E8C"/>
    <w:pPr>
      <w:widowControl w:val="0"/>
      <w:autoSpaceDE w:val="0"/>
      <w:autoSpaceDN w:val="0"/>
      <w:spacing w:line="268" w:lineRule="exact"/>
      <w:ind w:left="107"/>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kseniya</cp:lastModifiedBy>
  <cp:revision>18</cp:revision>
  <dcterms:created xsi:type="dcterms:W3CDTF">2023-11-23T10:52:00Z</dcterms:created>
  <dcterms:modified xsi:type="dcterms:W3CDTF">2024-04-09T10:12:00Z</dcterms:modified>
</cp:coreProperties>
</file>