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B96462">
        <w:rPr>
          <w:sz w:val="18"/>
          <w:szCs w:val="18"/>
        </w:rPr>
        <w:t>3</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B96462">
        <w:rPr>
          <w:sz w:val="18"/>
          <w:szCs w:val="18"/>
        </w:rPr>
        <w:t>3</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F07F8E" w:rsidRPr="00F07F8E">
        <w:rPr>
          <w:sz w:val="18"/>
          <w:szCs w:val="18"/>
        </w:rPr>
        <w:t>стрічк</w:t>
      </w:r>
      <w:r w:rsidR="00F07F8E" w:rsidRPr="00F07F8E">
        <w:rPr>
          <w:sz w:val="18"/>
          <w:szCs w:val="18"/>
        </w:rPr>
        <w:t>у</w:t>
      </w:r>
      <w:r w:rsidR="00F07F8E" w:rsidRPr="00F07F8E">
        <w:rPr>
          <w:sz w:val="18"/>
          <w:szCs w:val="18"/>
        </w:rPr>
        <w:t xml:space="preserve"> тефлонов</w:t>
      </w:r>
      <w:r w:rsidR="00F07F8E" w:rsidRPr="00F07F8E">
        <w:rPr>
          <w:sz w:val="18"/>
          <w:szCs w:val="18"/>
        </w:rPr>
        <w:t>у</w:t>
      </w:r>
      <w:r w:rsidR="00F07F8E" w:rsidRPr="00F07F8E">
        <w:rPr>
          <w:sz w:val="18"/>
          <w:szCs w:val="18"/>
        </w:rPr>
        <w:t xml:space="preserve"> професійн</w:t>
      </w:r>
      <w:r w:rsidR="00F07F8E" w:rsidRPr="00F07F8E">
        <w:rPr>
          <w:sz w:val="18"/>
          <w:szCs w:val="18"/>
        </w:rPr>
        <w:t>у</w:t>
      </w:r>
      <w:r w:rsidR="00F07F8E" w:rsidRPr="00F07F8E">
        <w:rPr>
          <w:sz w:val="18"/>
          <w:szCs w:val="18"/>
        </w:rPr>
        <w:t xml:space="preserve"> 19 мм 15 м, муфт</w:t>
      </w:r>
      <w:r w:rsidR="00F07F8E" w:rsidRPr="00F07F8E">
        <w:rPr>
          <w:sz w:val="18"/>
          <w:szCs w:val="18"/>
        </w:rPr>
        <w:t>у</w:t>
      </w:r>
      <w:r w:rsidR="00F07F8E" w:rsidRPr="00F07F8E">
        <w:rPr>
          <w:sz w:val="18"/>
          <w:szCs w:val="18"/>
        </w:rPr>
        <w:t xml:space="preserve"> редукційн</w:t>
      </w:r>
      <w:r w:rsidR="00F07F8E" w:rsidRPr="00F07F8E">
        <w:rPr>
          <w:sz w:val="18"/>
          <w:szCs w:val="18"/>
        </w:rPr>
        <w:t>у</w:t>
      </w:r>
      <w:r w:rsidR="00F07F8E" w:rsidRPr="00F07F8E">
        <w:rPr>
          <w:sz w:val="18"/>
          <w:szCs w:val="18"/>
        </w:rPr>
        <w:t xml:space="preserve"> ВЗ </w:t>
      </w:r>
      <w:proofErr w:type="spellStart"/>
      <w:r w:rsidR="00F07F8E" w:rsidRPr="00F07F8E">
        <w:rPr>
          <w:sz w:val="18"/>
          <w:szCs w:val="18"/>
        </w:rPr>
        <w:t>General</w:t>
      </w:r>
      <w:proofErr w:type="spellEnd"/>
      <w:r w:rsidR="00F07F8E" w:rsidRPr="00F07F8E">
        <w:rPr>
          <w:sz w:val="18"/>
          <w:szCs w:val="18"/>
        </w:rPr>
        <w:t xml:space="preserve"> </w:t>
      </w:r>
      <w:proofErr w:type="spellStart"/>
      <w:r w:rsidR="00F07F8E" w:rsidRPr="00F07F8E">
        <w:rPr>
          <w:sz w:val="18"/>
          <w:szCs w:val="18"/>
        </w:rPr>
        <w:t>Fittings</w:t>
      </w:r>
      <w:proofErr w:type="spellEnd"/>
      <w:r w:rsidR="00F07F8E" w:rsidRPr="00F07F8E">
        <w:rPr>
          <w:sz w:val="18"/>
          <w:szCs w:val="18"/>
        </w:rPr>
        <w:t xml:space="preserve"> ВР-НР 3/4"x1/2" латунь GF, п</w:t>
      </w:r>
      <w:r w:rsidR="00F07F8E" w:rsidRPr="00F07F8E">
        <w:rPr>
          <w:bCs/>
          <w:color w:val="01011B"/>
          <w:sz w:val="18"/>
          <w:szCs w:val="18"/>
          <w:shd w:val="clear" w:color="auto" w:fill="FFFFFF"/>
        </w:rPr>
        <w:t xml:space="preserve">ерехідник 2"в-1"н (50-25), </w:t>
      </w:r>
      <w:r w:rsidR="00F07F8E" w:rsidRPr="00F07F8E">
        <w:rPr>
          <w:sz w:val="18"/>
          <w:szCs w:val="18"/>
        </w:rPr>
        <w:t>різьб</w:t>
      </w:r>
      <w:r w:rsidR="00F07F8E" w:rsidRPr="00F07F8E">
        <w:rPr>
          <w:sz w:val="18"/>
          <w:szCs w:val="18"/>
        </w:rPr>
        <w:t>у</w:t>
      </w:r>
      <w:r w:rsidR="00F07F8E" w:rsidRPr="00F07F8E">
        <w:rPr>
          <w:sz w:val="18"/>
          <w:szCs w:val="18"/>
        </w:rPr>
        <w:t xml:space="preserve"> зовнішн</w:t>
      </w:r>
      <w:r w:rsidR="00F07F8E" w:rsidRPr="00F07F8E">
        <w:rPr>
          <w:sz w:val="18"/>
          <w:szCs w:val="18"/>
        </w:rPr>
        <w:t>ю</w:t>
      </w:r>
      <w:r w:rsidR="00F07F8E" w:rsidRPr="00F07F8E">
        <w:rPr>
          <w:sz w:val="18"/>
          <w:szCs w:val="18"/>
        </w:rPr>
        <w:t xml:space="preserve"> STA коротк</w:t>
      </w:r>
      <w:r w:rsidR="00F07F8E" w:rsidRPr="00F07F8E">
        <w:rPr>
          <w:sz w:val="18"/>
          <w:szCs w:val="18"/>
        </w:rPr>
        <w:t>а</w:t>
      </w:r>
      <w:r w:rsidR="00F07F8E" w:rsidRPr="00F07F8E">
        <w:rPr>
          <w:sz w:val="18"/>
          <w:szCs w:val="18"/>
        </w:rPr>
        <w:t xml:space="preserve"> сталь 50, коліно </w:t>
      </w:r>
      <w:proofErr w:type="spellStart"/>
      <w:r w:rsidR="00F07F8E" w:rsidRPr="00F07F8E">
        <w:rPr>
          <w:sz w:val="18"/>
          <w:szCs w:val="18"/>
        </w:rPr>
        <w:t>AlcaPipe</w:t>
      </w:r>
      <w:proofErr w:type="spellEnd"/>
      <w:r w:rsidR="00F07F8E" w:rsidRPr="00F07F8E">
        <w:rPr>
          <w:sz w:val="18"/>
          <w:szCs w:val="18"/>
        </w:rPr>
        <w:t xml:space="preserve"> 90° 32, кульков</w:t>
      </w:r>
      <w:r w:rsidR="00F07F8E" w:rsidRPr="00F07F8E">
        <w:rPr>
          <w:sz w:val="18"/>
          <w:szCs w:val="18"/>
        </w:rPr>
        <w:t xml:space="preserve">ий </w:t>
      </w:r>
      <w:r w:rsidR="00F07F8E" w:rsidRPr="00F07F8E">
        <w:rPr>
          <w:sz w:val="18"/>
          <w:szCs w:val="18"/>
        </w:rPr>
        <w:t xml:space="preserve">кран d 32 мм </w:t>
      </w:r>
      <w:proofErr w:type="spellStart"/>
      <w:r w:rsidR="00F07F8E" w:rsidRPr="00F07F8E">
        <w:rPr>
          <w:sz w:val="18"/>
          <w:szCs w:val="18"/>
        </w:rPr>
        <w:t>Polyterm</w:t>
      </w:r>
      <w:proofErr w:type="spellEnd"/>
      <w:r w:rsidR="00F07F8E" w:rsidRPr="00F07F8E">
        <w:rPr>
          <w:sz w:val="18"/>
          <w:szCs w:val="18"/>
        </w:rPr>
        <w:t>, муфт</w:t>
      </w:r>
      <w:r w:rsidR="00F07F8E" w:rsidRPr="00F07F8E">
        <w:rPr>
          <w:sz w:val="18"/>
          <w:szCs w:val="18"/>
        </w:rPr>
        <w:t>у</w:t>
      </w:r>
      <w:r w:rsidR="00F07F8E" w:rsidRPr="00F07F8E">
        <w:rPr>
          <w:sz w:val="18"/>
          <w:szCs w:val="18"/>
        </w:rPr>
        <w:t xml:space="preserve"> розбірн</w:t>
      </w:r>
      <w:r w:rsidR="00F07F8E" w:rsidRPr="00F07F8E">
        <w:rPr>
          <w:sz w:val="18"/>
          <w:szCs w:val="18"/>
        </w:rPr>
        <w:t>у</w:t>
      </w:r>
      <w:r w:rsidR="00F07F8E" w:rsidRPr="00F07F8E">
        <w:rPr>
          <w:sz w:val="18"/>
          <w:szCs w:val="18"/>
        </w:rPr>
        <w:t xml:space="preserve"> </w:t>
      </w:r>
      <w:proofErr w:type="spellStart"/>
      <w:r w:rsidR="00F07F8E" w:rsidRPr="00F07F8E">
        <w:rPr>
          <w:sz w:val="18"/>
          <w:szCs w:val="18"/>
        </w:rPr>
        <w:t>Vsplast</w:t>
      </w:r>
      <w:proofErr w:type="spellEnd"/>
      <w:r w:rsidR="00F07F8E" w:rsidRPr="00F07F8E">
        <w:rPr>
          <w:sz w:val="18"/>
          <w:szCs w:val="18"/>
        </w:rPr>
        <w:t xml:space="preserve"> внутрішня різьба металев</w:t>
      </w:r>
      <w:r w:rsidR="00F07F8E" w:rsidRPr="00F07F8E">
        <w:rPr>
          <w:sz w:val="18"/>
          <w:szCs w:val="18"/>
        </w:rPr>
        <w:t>у</w:t>
      </w:r>
      <w:r w:rsidR="00F07F8E" w:rsidRPr="00F07F8E">
        <w:rPr>
          <w:sz w:val="18"/>
          <w:szCs w:val="18"/>
        </w:rPr>
        <w:t xml:space="preserve"> PPR 32х1, </w:t>
      </w:r>
      <w:r w:rsidR="00F07F8E" w:rsidRPr="00F07F8E">
        <w:rPr>
          <w:bCs/>
          <w:sz w:val="18"/>
          <w:szCs w:val="18"/>
        </w:rPr>
        <w:t>муфт</w:t>
      </w:r>
      <w:r w:rsidR="00F07F8E" w:rsidRPr="00F07F8E">
        <w:rPr>
          <w:bCs/>
          <w:sz w:val="18"/>
          <w:szCs w:val="18"/>
        </w:rPr>
        <w:t>у</w:t>
      </w:r>
      <w:r w:rsidR="00F07F8E" w:rsidRPr="00F07F8E">
        <w:rPr>
          <w:bCs/>
          <w:sz w:val="18"/>
          <w:szCs w:val="18"/>
        </w:rPr>
        <w:t xml:space="preserve"> Американка ППР </w:t>
      </w:r>
      <w:proofErr w:type="spellStart"/>
      <w:r w:rsidR="00F07F8E" w:rsidRPr="00F07F8E">
        <w:rPr>
          <w:bCs/>
          <w:sz w:val="18"/>
          <w:szCs w:val="18"/>
        </w:rPr>
        <w:t>резьба</w:t>
      </w:r>
      <w:proofErr w:type="spellEnd"/>
      <w:r w:rsidR="00F07F8E" w:rsidRPr="00F07F8E">
        <w:rPr>
          <w:bCs/>
          <w:sz w:val="18"/>
          <w:szCs w:val="18"/>
        </w:rPr>
        <w:t xml:space="preserve"> </w:t>
      </w:r>
      <w:proofErr w:type="spellStart"/>
      <w:r w:rsidR="00F07F8E" w:rsidRPr="00F07F8E">
        <w:rPr>
          <w:bCs/>
          <w:sz w:val="18"/>
          <w:szCs w:val="18"/>
        </w:rPr>
        <w:t>вн</w:t>
      </w:r>
      <w:proofErr w:type="spellEnd"/>
      <w:r w:rsidR="00F07F8E" w:rsidRPr="00F07F8E">
        <w:rPr>
          <w:bCs/>
          <w:sz w:val="18"/>
          <w:szCs w:val="18"/>
        </w:rPr>
        <w:t xml:space="preserve">. Д32мм х 3/4" </w:t>
      </w:r>
      <w:proofErr w:type="spellStart"/>
      <w:r w:rsidR="00F07F8E" w:rsidRPr="00F07F8E">
        <w:rPr>
          <w:bCs/>
          <w:sz w:val="18"/>
          <w:szCs w:val="18"/>
        </w:rPr>
        <w:t>Tebo</w:t>
      </w:r>
      <w:proofErr w:type="spellEnd"/>
      <w:r w:rsidR="00F07F8E" w:rsidRPr="00F07F8E">
        <w:rPr>
          <w:bCs/>
          <w:sz w:val="18"/>
          <w:szCs w:val="18"/>
        </w:rPr>
        <w:t xml:space="preserve">, </w:t>
      </w:r>
      <w:r w:rsidR="00F07F8E" w:rsidRPr="00F07F8E">
        <w:rPr>
          <w:bCs/>
          <w:kern w:val="36"/>
          <w:sz w:val="18"/>
          <w:szCs w:val="18"/>
        </w:rPr>
        <w:t>трійника KALDE PPR 32", труб</w:t>
      </w:r>
      <w:r w:rsidR="00F07F8E" w:rsidRPr="00F07F8E">
        <w:rPr>
          <w:bCs/>
          <w:kern w:val="36"/>
          <w:sz w:val="18"/>
          <w:szCs w:val="18"/>
        </w:rPr>
        <w:t>у</w:t>
      </w:r>
      <w:r w:rsidR="00F07F8E" w:rsidRPr="00F07F8E">
        <w:rPr>
          <w:bCs/>
          <w:kern w:val="36"/>
          <w:sz w:val="18"/>
          <w:szCs w:val="18"/>
        </w:rPr>
        <w:t xml:space="preserve"> </w:t>
      </w:r>
      <w:proofErr w:type="spellStart"/>
      <w:r w:rsidR="00F07F8E" w:rsidRPr="00F07F8E">
        <w:rPr>
          <w:bCs/>
          <w:kern w:val="36"/>
          <w:sz w:val="18"/>
          <w:szCs w:val="18"/>
        </w:rPr>
        <w:t>VSplast</w:t>
      </w:r>
      <w:proofErr w:type="spellEnd"/>
      <w:r w:rsidR="00F07F8E" w:rsidRPr="00F07F8E">
        <w:rPr>
          <w:bCs/>
          <w:kern w:val="36"/>
          <w:sz w:val="18"/>
          <w:szCs w:val="18"/>
        </w:rPr>
        <w:t xml:space="preserve"> PPR-AL-</w:t>
      </w:r>
      <w:proofErr w:type="spellStart"/>
      <w:r w:rsidR="00F07F8E" w:rsidRPr="00F07F8E">
        <w:rPr>
          <w:bCs/>
          <w:kern w:val="36"/>
          <w:sz w:val="18"/>
          <w:szCs w:val="18"/>
        </w:rPr>
        <w:t>Pipe</w:t>
      </w:r>
      <w:proofErr w:type="spellEnd"/>
      <w:r w:rsidR="00F07F8E" w:rsidRPr="00F07F8E">
        <w:rPr>
          <w:bCs/>
          <w:kern w:val="36"/>
          <w:sz w:val="18"/>
          <w:szCs w:val="18"/>
        </w:rPr>
        <w:t xml:space="preserve"> ф32 NEW з алюмінієвою фольгою (GSR-0000002958)</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347611" w:rsidRPr="00F07F8E">
        <w:rPr>
          <w:sz w:val="18"/>
          <w:szCs w:val="18"/>
        </w:rPr>
        <w:t>4416</w:t>
      </w:r>
      <w:r w:rsidR="00347611" w:rsidRPr="00F07F8E">
        <w:rPr>
          <w:rFonts w:eastAsia="Calibri"/>
          <w:bCs/>
          <w:sz w:val="18"/>
          <w:szCs w:val="18"/>
        </w:rPr>
        <w:t>0000-9 – Магістралі, трубопроводи, труби, обсадні труби, тюбінги та супутні вироби</w:t>
      </w:r>
      <w:r w:rsidR="00347611"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841"/>
        <w:gridCol w:w="1362"/>
        <w:gridCol w:w="1170"/>
        <w:gridCol w:w="593"/>
        <w:gridCol w:w="950"/>
        <w:gridCol w:w="1418"/>
        <w:gridCol w:w="1418"/>
      </w:tblGrid>
      <w:tr w:rsidR="00B96462" w:rsidRPr="00A74807" w:rsidTr="00F07F8E">
        <w:tc>
          <w:tcPr>
            <w:tcW w:w="468" w:type="pct"/>
            <w:vAlign w:val="center"/>
          </w:tcPr>
          <w:p w:rsidR="00B96462" w:rsidRPr="00A74807" w:rsidRDefault="00B96462" w:rsidP="003A412C">
            <w:pPr>
              <w:jc w:val="center"/>
              <w:rPr>
                <w:sz w:val="18"/>
                <w:szCs w:val="18"/>
              </w:rPr>
            </w:pPr>
            <w:r w:rsidRPr="00A74807">
              <w:rPr>
                <w:sz w:val="18"/>
                <w:szCs w:val="18"/>
              </w:rPr>
              <w:t>№ п/п</w:t>
            </w:r>
          </w:p>
        </w:tc>
        <w:tc>
          <w:tcPr>
            <w:tcW w:w="953"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70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60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07"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92" w:type="pct"/>
            <w:vAlign w:val="center"/>
          </w:tcPr>
          <w:p w:rsidR="00B96462" w:rsidRPr="00A74807" w:rsidRDefault="00B96462" w:rsidP="003A412C">
            <w:pPr>
              <w:jc w:val="center"/>
              <w:rPr>
                <w:b/>
                <w:bCs/>
                <w:sz w:val="18"/>
                <w:szCs w:val="18"/>
              </w:rPr>
            </w:pPr>
            <w:r w:rsidRPr="00A74807">
              <w:rPr>
                <w:sz w:val="18"/>
                <w:szCs w:val="18"/>
              </w:rPr>
              <w:t>Кількість</w:t>
            </w:r>
          </w:p>
        </w:tc>
        <w:tc>
          <w:tcPr>
            <w:tcW w:w="734"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34"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F07F8E" w:rsidRPr="00A74807" w:rsidTr="00F07F8E">
        <w:trPr>
          <w:trHeight w:val="85"/>
        </w:trPr>
        <w:tc>
          <w:tcPr>
            <w:tcW w:w="468" w:type="pct"/>
            <w:vAlign w:val="center"/>
          </w:tcPr>
          <w:p w:rsidR="00F07F8E" w:rsidRPr="00A74807" w:rsidRDefault="00F07F8E" w:rsidP="00F07F8E">
            <w:pPr>
              <w:pStyle w:val="a7"/>
              <w:ind w:left="495"/>
              <w:rPr>
                <w:sz w:val="18"/>
                <w:szCs w:val="18"/>
              </w:rPr>
            </w:pPr>
            <w:r>
              <w:rPr>
                <w:sz w:val="18"/>
                <w:szCs w:val="18"/>
              </w:rPr>
              <w:t>1</w:t>
            </w:r>
          </w:p>
        </w:tc>
        <w:tc>
          <w:tcPr>
            <w:tcW w:w="953" w:type="pct"/>
          </w:tcPr>
          <w:p w:rsidR="00F07F8E" w:rsidRPr="00F07F8E" w:rsidRDefault="00F07F8E" w:rsidP="00F07F8E">
            <w:pPr>
              <w:pStyle w:val="1"/>
              <w:spacing w:before="0" w:line="240" w:lineRule="auto"/>
              <w:textAlignment w:val="baseline"/>
              <w:rPr>
                <w:rFonts w:ascii="Times New Roman" w:hAnsi="Times New Roman" w:cs="Times New Roman"/>
                <w:color w:val="auto"/>
                <w:sz w:val="18"/>
                <w:szCs w:val="18"/>
              </w:rPr>
            </w:pPr>
            <w:proofErr w:type="spellStart"/>
            <w:r w:rsidRPr="00F07F8E">
              <w:rPr>
                <w:rFonts w:ascii="Times New Roman" w:hAnsi="Times New Roman" w:cs="Times New Roman"/>
                <w:color w:val="auto"/>
                <w:sz w:val="18"/>
                <w:szCs w:val="18"/>
              </w:rPr>
              <w:t>Стрічка</w:t>
            </w:r>
            <w:proofErr w:type="spellEnd"/>
            <w:r w:rsidRPr="00F07F8E">
              <w:rPr>
                <w:rFonts w:ascii="Times New Roman" w:hAnsi="Times New Roman" w:cs="Times New Roman"/>
                <w:color w:val="auto"/>
                <w:sz w:val="18"/>
                <w:szCs w:val="18"/>
              </w:rPr>
              <w:t xml:space="preserve"> тефлонова </w:t>
            </w:r>
            <w:proofErr w:type="spellStart"/>
            <w:r w:rsidRPr="00F07F8E">
              <w:rPr>
                <w:rFonts w:ascii="Times New Roman" w:hAnsi="Times New Roman" w:cs="Times New Roman"/>
                <w:color w:val="auto"/>
                <w:sz w:val="18"/>
                <w:szCs w:val="18"/>
              </w:rPr>
              <w:t>професійна</w:t>
            </w:r>
            <w:proofErr w:type="spellEnd"/>
            <w:r w:rsidRPr="00F07F8E">
              <w:rPr>
                <w:rFonts w:ascii="Times New Roman" w:hAnsi="Times New Roman" w:cs="Times New Roman"/>
                <w:color w:val="auto"/>
                <w:sz w:val="18"/>
                <w:szCs w:val="18"/>
              </w:rPr>
              <w:t xml:space="preserve"> </w:t>
            </w:r>
          </w:p>
          <w:p w:rsidR="00F07F8E" w:rsidRPr="00F07F8E" w:rsidRDefault="00F07F8E" w:rsidP="00F07F8E">
            <w:pPr>
              <w:pStyle w:val="1"/>
              <w:spacing w:before="0" w:line="240" w:lineRule="auto"/>
              <w:textAlignment w:val="baseline"/>
              <w:rPr>
                <w:rFonts w:ascii="Times New Roman" w:eastAsia="Arial" w:hAnsi="Times New Roman" w:cs="Times New Roman"/>
                <w:color w:val="000000"/>
                <w:kern w:val="36"/>
                <w:sz w:val="18"/>
                <w:szCs w:val="18"/>
                <w:lang w:val="uk-UA" w:bidi="en-US"/>
              </w:rPr>
            </w:pPr>
            <w:r w:rsidRPr="00F07F8E">
              <w:rPr>
                <w:rFonts w:ascii="Times New Roman" w:hAnsi="Times New Roman" w:cs="Times New Roman"/>
                <w:color w:val="auto"/>
                <w:sz w:val="18"/>
                <w:szCs w:val="18"/>
              </w:rPr>
              <w:t>19 мм 15 м</w:t>
            </w:r>
          </w:p>
        </w:tc>
        <w:tc>
          <w:tcPr>
            <w:tcW w:w="705" w:type="pct"/>
          </w:tcPr>
          <w:p w:rsidR="00F07F8E" w:rsidRPr="00E8018B" w:rsidRDefault="00F07F8E" w:rsidP="00F07F8E">
            <w:pPr>
              <w:jc w:val="center"/>
              <w:rPr>
                <w:bCs/>
                <w:kern w:val="32"/>
                <w:sz w:val="18"/>
                <w:szCs w:val="18"/>
                <w:lang w:bidi="en-US"/>
              </w:rPr>
            </w:pPr>
          </w:p>
        </w:tc>
        <w:tc>
          <w:tcPr>
            <w:tcW w:w="606" w:type="pct"/>
          </w:tcPr>
          <w:p w:rsidR="00F07F8E" w:rsidRPr="00E8018B" w:rsidRDefault="00F07F8E" w:rsidP="00F07F8E">
            <w:pPr>
              <w:jc w:val="center"/>
              <w:rPr>
                <w:bCs/>
                <w:kern w:val="32"/>
                <w:sz w:val="18"/>
                <w:szCs w:val="18"/>
                <w:lang w:bidi="en-US"/>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p>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1</w:t>
            </w:r>
          </w:p>
          <w:p w:rsidR="00F07F8E" w:rsidRPr="00F07F8E" w:rsidRDefault="00F07F8E" w:rsidP="00F07F8E">
            <w:pPr>
              <w:widowControl w:val="0"/>
              <w:suppressAutoHyphens/>
              <w:jc w:val="center"/>
              <w:rPr>
                <w:rFonts w:eastAsia="Arial"/>
                <w:sz w:val="18"/>
                <w:szCs w:val="18"/>
                <w:lang w:bidi="en-US"/>
              </w:rPr>
            </w:pP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2</w:t>
            </w:r>
          </w:p>
        </w:tc>
        <w:tc>
          <w:tcPr>
            <w:tcW w:w="953" w:type="pct"/>
          </w:tcPr>
          <w:p w:rsidR="00F07F8E" w:rsidRPr="00F07F8E" w:rsidRDefault="00F07F8E" w:rsidP="00F07F8E">
            <w:pPr>
              <w:pStyle w:val="1"/>
              <w:spacing w:before="0" w:line="240" w:lineRule="auto"/>
              <w:textAlignment w:val="baseline"/>
              <w:rPr>
                <w:rFonts w:ascii="Times New Roman" w:eastAsia="Arial" w:hAnsi="Times New Roman" w:cs="Times New Roman"/>
                <w:bCs/>
                <w:sz w:val="18"/>
                <w:szCs w:val="18"/>
                <w:shd w:val="clear" w:color="auto" w:fill="FFFFFF"/>
                <w:lang w:val="uk-UA" w:bidi="en-US"/>
              </w:rPr>
            </w:pPr>
            <w:r w:rsidRPr="00F07F8E">
              <w:rPr>
                <w:rFonts w:ascii="Times New Roman" w:hAnsi="Times New Roman" w:cs="Times New Roman"/>
                <w:color w:val="auto"/>
                <w:sz w:val="18"/>
                <w:szCs w:val="18"/>
                <w:lang w:val="uk-UA"/>
              </w:rPr>
              <w:t xml:space="preserve">Муфта редукційна ВЗ </w:t>
            </w:r>
            <w:proofErr w:type="spellStart"/>
            <w:r w:rsidRPr="00F07F8E">
              <w:rPr>
                <w:rFonts w:ascii="Times New Roman" w:hAnsi="Times New Roman" w:cs="Times New Roman"/>
                <w:color w:val="auto"/>
                <w:sz w:val="18"/>
                <w:szCs w:val="18"/>
              </w:rPr>
              <w:t>General</w:t>
            </w:r>
            <w:proofErr w:type="spellEnd"/>
            <w:r w:rsidRPr="00F07F8E">
              <w:rPr>
                <w:rFonts w:ascii="Times New Roman" w:hAnsi="Times New Roman" w:cs="Times New Roman"/>
                <w:color w:val="auto"/>
                <w:sz w:val="18"/>
                <w:szCs w:val="18"/>
                <w:lang w:val="uk-UA"/>
              </w:rPr>
              <w:t xml:space="preserve"> </w:t>
            </w:r>
            <w:proofErr w:type="spellStart"/>
            <w:r w:rsidRPr="00F07F8E">
              <w:rPr>
                <w:rFonts w:ascii="Times New Roman" w:hAnsi="Times New Roman" w:cs="Times New Roman"/>
                <w:color w:val="auto"/>
                <w:sz w:val="18"/>
                <w:szCs w:val="18"/>
              </w:rPr>
              <w:t>Fittings</w:t>
            </w:r>
            <w:proofErr w:type="spellEnd"/>
            <w:r w:rsidRPr="00F07F8E">
              <w:rPr>
                <w:rFonts w:ascii="Times New Roman" w:hAnsi="Times New Roman" w:cs="Times New Roman"/>
                <w:color w:val="auto"/>
                <w:sz w:val="18"/>
                <w:szCs w:val="18"/>
                <w:lang w:val="uk-UA"/>
              </w:rPr>
              <w:t xml:space="preserve"> ВР-НР 3/4"</w:t>
            </w:r>
            <w:r w:rsidRPr="00F07F8E">
              <w:rPr>
                <w:rFonts w:ascii="Times New Roman" w:hAnsi="Times New Roman" w:cs="Times New Roman"/>
                <w:color w:val="auto"/>
                <w:sz w:val="18"/>
                <w:szCs w:val="18"/>
              </w:rPr>
              <w:t>x</w:t>
            </w:r>
            <w:r w:rsidRPr="00F07F8E">
              <w:rPr>
                <w:rFonts w:ascii="Times New Roman" w:hAnsi="Times New Roman" w:cs="Times New Roman"/>
                <w:color w:val="auto"/>
                <w:sz w:val="18"/>
                <w:szCs w:val="18"/>
                <w:lang w:val="uk-UA"/>
              </w:rPr>
              <w:t xml:space="preserve">1/2" латунь </w:t>
            </w:r>
            <w:r w:rsidRPr="00F07F8E">
              <w:rPr>
                <w:rFonts w:ascii="Times New Roman" w:hAnsi="Times New Roman" w:cs="Times New Roman"/>
                <w:color w:val="auto"/>
                <w:sz w:val="18"/>
                <w:szCs w:val="18"/>
              </w:rPr>
              <w:t>GF</w:t>
            </w:r>
          </w:p>
        </w:tc>
        <w:tc>
          <w:tcPr>
            <w:tcW w:w="705" w:type="pct"/>
          </w:tcPr>
          <w:p w:rsidR="00F07F8E" w:rsidRPr="00E8018B" w:rsidRDefault="00F07F8E" w:rsidP="00F07F8E">
            <w:pPr>
              <w:jc w:val="center"/>
              <w:rPr>
                <w:bCs/>
                <w:kern w:val="32"/>
                <w:sz w:val="18"/>
                <w:szCs w:val="18"/>
                <w:lang w:bidi="en-US"/>
              </w:rPr>
            </w:pPr>
          </w:p>
        </w:tc>
        <w:tc>
          <w:tcPr>
            <w:tcW w:w="606" w:type="pct"/>
          </w:tcPr>
          <w:p w:rsidR="00F07F8E" w:rsidRPr="00E8018B" w:rsidRDefault="00F07F8E" w:rsidP="00F07F8E">
            <w:pPr>
              <w:jc w:val="center"/>
              <w:rPr>
                <w:bCs/>
                <w:kern w:val="32"/>
                <w:sz w:val="18"/>
                <w:szCs w:val="18"/>
                <w:lang w:bidi="en-US"/>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p>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4</w:t>
            </w:r>
          </w:p>
          <w:p w:rsidR="00F07F8E" w:rsidRPr="00F07F8E" w:rsidRDefault="00F07F8E" w:rsidP="00F07F8E">
            <w:pPr>
              <w:widowControl w:val="0"/>
              <w:suppressAutoHyphens/>
              <w:jc w:val="center"/>
              <w:rPr>
                <w:rFonts w:eastAsia="Arial"/>
                <w:sz w:val="18"/>
                <w:szCs w:val="18"/>
                <w:lang w:bidi="en-US"/>
              </w:rPr>
            </w:pP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3</w:t>
            </w:r>
          </w:p>
        </w:tc>
        <w:tc>
          <w:tcPr>
            <w:tcW w:w="953" w:type="pct"/>
          </w:tcPr>
          <w:p w:rsidR="00F07F8E" w:rsidRPr="00F07F8E" w:rsidRDefault="00F07F8E" w:rsidP="00F07F8E">
            <w:pPr>
              <w:widowControl w:val="0"/>
              <w:shd w:val="clear" w:color="auto" w:fill="FFFFFF"/>
              <w:suppressAutoHyphens/>
              <w:textAlignment w:val="baseline"/>
              <w:rPr>
                <w:bCs/>
                <w:color w:val="01011B"/>
                <w:sz w:val="18"/>
                <w:szCs w:val="18"/>
                <w:shd w:val="clear" w:color="auto" w:fill="FFFFFF"/>
              </w:rPr>
            </w:pPr>
            <w:r w:rsidRPr="00F07F8E">
              <w:rPr>
                <w:bCs/>
                <w:color w:val="01011B"/>
                <w:sz w:val="18"/>
                <w:szCs w:val="18"/>
                <w:shd w:val="clear" w:color="auto" w:fill="FFFFFF"/>
              </w:rPr>
              <w:t>Перехідник</w:t>
            </w:r>
          </w:p>
          <w:p w:rsidR="00F07F8E" w:rsidRPr="00F07F8E" w:rsidRDefault="00F07F8E" w:rsidP="00F07F8E">
            <w:pPr>
              <w:widowControl w:val="0"/>
              <w:shd w:val="clear" w:color="auto" w:fill="FFFFFF"/>
              <w:suppressAutoHyphens/>
              <w:textAlignment w:val="baseline"/>
              <w:rPr>
                <w:rFonts w:eastAsia="Arial"/>
                <w:bCs/>
                <w:sz w:val="18"/>
                <w:szCs w:val="18"/>
                <w:shd w:val="clear" w:color="auto" w:fill="FFFFFF"/>
                <w:lang w:bidi="en-US"/>
              </w:rPr>
            </w:pPr>
            <w:r w:rsidRPr="00F07F8E">
              <w:rPr>
                <w:bCs/>
                <w:color w:val="01011B"/>
                <w:sz w:val="18"/>
                <w:szCs w:val="18"/>
                <w:shd w:val="clear" w:color="auto" w:fill="FFFFFF"/>
              </w:rPr>
              <w:t>2"в-1"н (50-25)</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1</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4</w:t>
            </w:r>
          </w:p>
        </w:tc>
        <w:tc>
          <w:tcPr>
            <w:tcW w:w="953" w:type="pct"/>
          </w:tcPr>
          <w:p w:rsidR="00F07F8E" w:rsidRPr="00F07F8E" w:rsidRDefault="00F07F8E" w:rsidP="00F07F8E">
            <w:pPr>
              <w:pStyle w:val="1"/>
              <w:spacing w:before="0" w:line="240" w:lineRule="auto"/>
              <w:textAlignment w:val="baseline"/>
              <w:rPr>
                <w:rFonts w:ascii="Times New Roman" w:eastAsia="Arial" w:hAnsi="Times New Roman" w:cs="Times New Roman"/>
                <w:kern w:val="36"/>
                <w:sz w:val="18"/>
                <w:szCs w:val="18"/>
                <w:lang w:val="uk-UA" w:bidi="en-US"/>
              </w:rPr>
            </w:pPr>
            <w:proofErr w:type="spellStart"/>
            <w:r w:rsidRPr="00F07F8E">
              <w:rPr>
                <w:rFonts w:ascii="Times New Roman" w:hAnsi="Times New Roman" w:cs="Times New Roman"/>
                <w:color w:val="auto"/>
                <w:sz w:val="18"/>
                <w:szCs w:val="18"/>
              </w:rPr>
              <w:t>Різьба</w:t>
            </w:r>
            <w:proofErr w:type="spellEnd"/>
            <w:r w:rsidRPr="00F07F8E">
              <w:rPr>
                <w:rFonts w:ascii="Times New Roman" w:hAnsi="Times New Roman" w:cs="Times New Roman"/>
                <w:color w:val="auto"/>
                <w:sz w:val="18"/>
                <w:szCs w:val="18"/>
              </w:rPr>
              <w:t xml:space="preserve"> </w:t>
            </w:r>
            <w:proofErr w:type="spellStart"/>
            <w:r w:rsidRPr="00F07F8E">
              <w:rPr>
                <w:rFonts w:ascii="Times New Roman" w:hAnsi="Times New Roman" w:cs="Times New Roman"/>
                <w:color w:val="auto"/>
                <w:sz w:val="18"/>
                <w:szCs w:val="18"/>
              </w:rPr>
              <w:t>зовнішня</w:t>
            </w:r>
            <w:proofErr w:type="spellEnd"/>
            <w:r w:rsidRPr="00F07F8E">
              <w:rPr>
                <w:rFonts w:ascii="Times New Roman" w:hAnsi="Times New Roman" w:cs="Times New Roman"/>
                <w:color w:val="auto"/>
                <w:sz w:val="18"/>
                <w:szCs w:val="18"/>
              </w:rPr>
              <w:t xml:space="preserve"> STA коротка сталь 50</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p>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1</w:t>
            </w:r>
          </w:p>
          <w:p w:rsidR="00F07F8E" w:rsidRPr="00F07F8E" w:rsidRDefault="00F07F8E" w:rsidP="00F07F8E">
            <w:pPr>
              <w:widowControl w:val="0"/>
              <w:suppressAutoHyphens/>
              <w:jc w:val="center"/>
              <w:rPr>
                <w:rFonts w:eastAsia="Arial"/>
                <w:sz w:val="18"/>
                <w:szCs w:val="18"/>
                <w:lang w:bidi="en-US"/>
              </w:rPr>
            </w:pP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5</w:t>
            </w:r>
          </w:p>
        </w:tc>
        <w:tc>
          <w:tcPr>
            <w:tcW w:w="953" w:type="pct"/>
          </w:tcPr>
          <w:p w:rsidR="00F07F8E" w:rsidRPr="00F07F8E" w:rsidRDefault="00F07F8E" w:rsidP="00F07F8E">
            <w:pPr>
              <w:pStyle w:val="1"/>
              <w:spacing w:before="0" w:line="240" w:lineRule="auto"/>
              <w:textAlignment w:val="baseline"/>
              <w:rPr>
                <w:rFonts w:ascii="Times New Roman" w:eastAsia="Arial" w:hAnsi="Times New Roman" w:cs="Times New Roman"/>
                <w:kern w:val="36"/>
                <w:sz w:val="18"/>
                <w:szCs w:val="18"/>
                <w:lang w:val="uk-UA" w:bidi="en-US"/>
              </w:rPr>
            </w:pPr>
            <w:proofErr w:type="spellStart"/>
            <w:r w:rsidRPr="00F07F8E">
              <w:rPr>
                <w:rFonts w:ascii="Times New Roman" w:hAnsi="Times New Roman" w:cs="Times New Roman"/>
                <w:color w:val="auto"/>
                <w:sz w:val="18"/>
                <w:szCs w:val="18"/>
              </w:rPr>
              <w:t>Коліно</w:t>
            </w:r>
            <w:proofErr w:type="spellEnd"/>
            <w:r w:rsidRPr="00F07F8E">
              <w:rPr>
                <w:rFonts w:ascii="Times New Roman" w:hAnsi="Times New Roman" w:cs="Times New Roman"/>
                <w:color w:val="auto"/>
                <w:sz w:val="18"/>
                <w:szCs w:val="18"/>
              </w:rPr>
              <w:t xml:space="preserve"> </w:t>
            </w:r>
            <w:proofErr w:type="spellStart"/>
            <w:r w:rsidRPr="00F07F8E">
              <w:rPr>
                <w:rFonts w:ascii="Times New Roman" w:hAnsi="Times New Roman" w:cs="Times New Roman"/>
                <w:color w:val="auto"/>
                <w:sz w:val="18"/>
                <w:szCs w:val="18"/>
              </w:rPr>
              <w:t>AlcaPipe</w:t>
            </w:r>
            <w:proofErr w:type="spellEnd"/>
            <w:r w:rsidRPr="00F07F8E">
              <w:rPr>
                <w:rFonts w:ascii="Times New Roman" w:hAnsi="Times New Roman" w:cs="Times New Roman"/>
                <w:color w:val="auto"/>
                <w:sz w:val="18"/>
                <w:szCs w:val="18"/>
              </w:rPr>
              <w:t xml:space="preserve"> 90° 32</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10</w:t>
            </w:r>
          </w:p>
          <w:p w:rsidR="00F07F8E" w:rsidRPr="00F07F8E" w:rsidRDefault="00F07F8E" w:rsidP="00F07F8E">
            <w:pPr>
              <w:widowControl w:val="0"/>
              <w:suppressAutoHyphens/>
              <w:jc w:val="center"/>
              <w:rPr>
                <w:rFonts w:eastAsia="Arial"/>
                <w:sz w:val="18"/>
                <w:szCs w:val="18"/>
                <w:lang w:bidi="en-US"/>
              </w:rPr>
            </w:pP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6</w:t>
            </w:r>
          </w:p>
        </w:tc>
        <w:tc>
          <w:tcPr>
            <w:tcW w:w="953" w:type="pct"/>
          </w:tcPr>
          <w:p w:rsidR="00F07F8E" w:rsidRPr="00F07F8E" w:rsidRDefault="00F07F8E" w:rsidP="00F07F8E">
            <w:pPr>
              <w:pStyle w:val="1"/>
              <w:spacing w:before="0" w:line="240" w:lineRule="auto"/>
              <w:textAlignment w:val="baseline"/>
              <w:rPr>
                <w:rFonts w:ascii="Times New Roman" w:hAnsi="Times New Roman" w:cs="Times New Roman"/>
                <w:sz w:val="18"/>
                <w:szCs w:val="18"/>
                <w:lang w:val="uk-UA"/>
              </w:rPr>
            </w:pPr>
            <w:proofErr w:type="spellStart"/>
            <w:r w:rsidRPr="00F07F8E">
              <w:rPr>
                <w:rFonts w:ascii="Times New Roman" w:hAnsi="Times New Roman" w:cs="Times New Roman"/>
                <w:color w:val="auto"/>
                <w:sz w:val="18"/>
                <w:szCs w:val="18"/>
              </w:rPr>
              <w:t>Кульковий</w:t>
            </w:r>
            <w:proofErr w:type="spellEnd"/>
            <w:r w:rsidRPr="00F07F8E">
              <w:rPr>
                <w:rFonts w:ascii="Times New Roman" w:hAnsi="Times New Roman" w:cs="Times New Roman"/>
                <w:color w:val="auto"/>
                <w:sz w:val="18"/>
                <w:szCs w:val="18"/>
              </w:rPr>
              <w:t xml:space="preserve"> кран d 32 мм </w:t>
            </w:r>
            <w:proofErr w:type="spellStart"/>
            <w:r w:rsidRPr="00F07F8E">
              <w:rPr>
                <w:rFonts w:ascii="Times New Roman" w:hAnsi="Times New Roman" w:cs="Times New Roman"/>
                <w:color w:val="auto"/>
                <w:sz w:val="18"/>
                <w:szCs w:val="18"/>
              </w:rPr>
              <w:t>Polyterm</w:t>
            </w:r>
            <w:proofErr w:type="spellEnd"/>
            <w:r w:rsidRPr="00F07F8E">
              <w:rPr>
                <w:rFonts w:ascii="Times New Roman" w:hAnsi="Times New Roman" w:cs="Times New Roman"/>
                <w:color w:val="auto"/>
                <w:sz w:val="18"/>
                <w:szCs w:val="18"/>
              </w:rPr>
              <w:t> </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6</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7</w:t>
            </w:r>
          </w:p>
        </w:tc>
        <w:tc>
          <w:tcPr>
            <w:tcW w:w="953" w:type="pct"/>
          </w:tcPr>
          <w:p w:rsidR="00F07F8E" w:rsidRPr="00F07F8E" w:rsidRDefault="00F07F8E" w:rsidP="00F07F8E">
            <w:pPr>
              <w:pStyle w:val="1"/>
              <w:spacing w:before="0" w:line="240" w:lineRule="auto"/>
              <w:textAlignment w:val="baseline"/>
              <w:rPr>
                <w:rFonts w:ascii="Times New Roman" w:hAnsi="Times New Roman" w:cs="Times New Roman"/>
                <w:sz w:val="18"/>
                <w:szCs w:val="18"/>
                <w:lang w:val="uk-UA"/>
              </w:rPr>
            </w:pPr>
            <w:r w:rsidRPr="00F07F8E">
              <w:rPr>
                <w:rFonts w:ascii="Times New Roman" w:hAnsi="Times New Roman" w:cs="Times New Roman"/>
                <w:color w:val="auto"/>
                <w:sz w:val="18"/>
                <w:szCs w:val="18"/>
                <w:lang w:val="uk-UA"/>
              </w:rPr>
              <w:t xml:space="preserve">Муфта розбірна </w:t>
            </w:r>
            <w:proofErr w:type="spellStart"/>
            <w:r w:rsidRPr="00F07F8E">
              <w:rPr>
                <w:rFonts w:ascii="Times New Roman" w:hAnsi="Times New Roman" w:cs="Times New Roman"/>
                <w:color w:val="auto"/>
                <w:sz w:val="18"/>
                <w:szCs w:val="18"/>
              </w:rPr>
              <w:t>Vsplast</w:t>
            </w:r>
            <w:proofErr w:type="spellEnd"/>
            <w:r w:rsidRPr="00F07F8E">
              <w:rPr>
                <w:rFonts w:ascii="Times New Roman" w:hAnsi="Times New Roman" w:cs="Times New Roman"/>
                <w:color w:val="auto"/>
                <w:sz w:val="18"/>
                <w:szCs w:val="18"/>
                <w:lang w:val="uk-UA"/>
              </w:rPr>
              <w:t xml:space="preserve"> внутрішня різьба металева </w:t>
            </w:r>
            <w:r w:rsidRPr="00F07F8E">
              <w:rPr>
                <w:rFonts w:ascii="Times New Roman" w:hAnsi="Times New Roman" w:cs="Times New Roman"/>
                <w:color w:val="auto"/>
                <w:sz w:val="18"/>
                <w:szCs w:val="18"/>
              </w:rPr>
              <w:t>PPR</w:t>
            </w:r>
            <w:r w:rsidRPr="00F07F8E">
              <w:rPr>
                <w:rFonts w:ascii="Times New Roman" w:hAnsi="Times New Roman" w:cs="Times New Roman"/>
                <w:color w:val="auto"/>
                <w:sz w:val="18"/>
                <w:szCs w:val="18"/>
                <w:lang w:val="uk-UA"/>
              </w:rPr>
              <w:t xml:space="preserve"> 32х1</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1</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8</w:t>
            </w:r>
          </w:p>
        </w:tc>
        <w:tc>
          <w:tcPr>
            <w:tcW w:w="953" w:type="pct"/>
          </w:tcPr>
          <w:p w:rsidR="00F07F8E" w:rsidRPr="00F07F8E" w:rsidRDefault="00F07F8E" w:rsidP="00F07F8E">
            <w:pPr>
              <w:pStyle w:val="1"/>
              <w:shd w:val="clear" w:color="auto" w:fill="FFFFFF"/>
              <w:spacing w:before="0" w:line="240" w:lineRule="auto"/>
              <w:rPr>
                <w:rFonts w:ascii="Times New Roman" w:hAnsi="Times New Roman" w:cs="Times New Roman"/>
                <w:sz w:val="18"/>
                <w:szCs w:val="18"/>
                <w:lang w:val="uk-UA"/>
              </w:rPr>
            </w:pPr>
            <w:r w:rsidRPr="00F07F8E">
              <w:rPr>
                <w:rFonts w:ascii="Times New Roman" w:hAnsi="Times New Roman" w:cs="Times New Roman"/>
                <w:bCs/>
                <w:color w:val="auto"/>
                <w:sz w:val="18"/>
                <w:szCs w:val="18"/>
              </w:rPr>
              <w:t xml:space="preserve">Муфта Американка ППР резьба </w:t>
            </w:r>
            <w:proofErr w:type="spellStart"/>
            <w:r w:rsidRPr="00F07F8E">
              <w:rPr>
                <w:rFonts w:ascii="Times New Roman" w:hAnsi="Times New Roman" w:cs="Times New Roman"/>
                <w:bCs/>
                <w:color w:val="auto"/>
                <w:sz w:val="18"/>
                <w:szCs w:val="18"/>
              </w:rPr>
              <w:t>вн</w:t>
            </w:r>
            <w:proofErr w:type="spellEnd"/>
            <w:r w:rsidRPr="00F07F8E">
              <w:rPr>
                <w:rFonts w:ascii="Times New Roman" w:hAnsi="Times New Roman" w:cs="Times New Roman"/>
                <w:bCs/>
                <w:color w:val="auto"/>
                <w:sz w:val="18"/>
                <w:szCs w:val="18"/>
              </w:rPr>
              <w:t xml:space="preserve">. </w:t>
            </w:r>
            <w:r w:rsidRPr="00F07F8E">
              <w:rPr>
                <w:rFonts w:ascii="Times New Roman" w:hAnsi="Times New Roman" w:cs="Times New Roman"/>
                <w:bCs/>
                <w:color w:val="auto"/>
                <w:sz w:val="18"/>
                <w:szCs w:val="18"/>
                <w:lang w:val="uk-UA"/>
              </w:rPr>
              <w:t>Д</w:t>
            </w:r>
            <w:r w:rsidRPr="00F07F8E">
              <w:rPr>
                <w:rFonts w:ascii="Times New Roman" w:hAnsi="Times New Roman" w:cs="Times New Roman"/>
                <w:bCs/>
                <w:color w:val="auto"/>
                <w:sz w:val="18"/>
                <w:szCs w:val="18"/>
              </w:rPr>
              <w:t xml:space="preserve">32мм х 3/4" </w:t>
            </w:r>
            <w:proofErr w:type="spellStart"/>
            <w:r w:rsidRPr="00F07F8E">
              <w:rPr>
                <w:rFonts w:ascii="Times New Roman" w:hAnsi="Times New Roman" w:cs="Times New Roman"/>
                <w:bCs/>
                <w:color w:val="auto"/>
                <w:sz w:val="18"/>
                <w:szCs w:val="18"/>
              </w:rPr>
              <w:t>Tebo</w:t>
            </w:r>
            <w:proofErr w:type="spellEnd"/>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Pr="00B01465" w:rsidRDefault="00F07F8E" w:rsidP="00F07F8E">
            <w:pPr>
              <w:jc w:val="center"/>
              <w:rPr>
                <w:sz w:val="18"/>
                <w:szCs w:val="18"/>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4</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9</w:t>
            </w:r>
          </w:p>
        </w:tc>
        <w:tc>
          <w:tcPr>
            <w:tcW w:w="953" w:type="pct"/>
          </w:tcPr>
          <w:p w:rsidR="00F07F8E" w:rsidRPr="00F07F8E" w:rsidRDefault="00F07F8E" w:rsidP="00F07F8E">
            <w:pPr>
              <w:textAlignment w:val="baseline"/>
              <w:outlineLvl w:val="0"/>
              <w:rPr>
                <w:sz w:val="18"/>
                <w:szCs w:val="18"/>
              </w:rPr>
            </w:pPr>
            <w:r w:rsidRPr="00F07F8E">
              <w:rPr>
                <w:bCs/>
                <w:kern w:val="36"/>
                <w:sz w:val="18"/>
                <w:szCs w:val="18"/>
              </w:rPr>
              <w:t>Трійник KALDE PPR 32" </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Default="00F07F8E" w:rsidP="00F07F8E">
            <w:pPr>
              <w:jc w:val="center"/>
              <w:rPr>
                <w:bCs/>
                <w:kern w:val="32"/>
                <w:sz w:val="18"/>
                <w:szCs w:val="18"/>
                <w:lang w:bidi="en-US"/>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8</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F07F8E" w:rsidRPr="00A74807" w:rsidTr="00F07F8E">
        <w:trPr>
          <w:trHeight w:val="85"/>
        </w:trPr>
        <w:tc>
          <w:tcPr>
            <w:tcW w:w="468" w:type="pct"/>
            <w:vAlign w:val="center"/>
          </w:tcPr>
          <w:p w:rsidR="00F07F8E" w:rsidRDefault="00F07F8E" w:rsidP="00F07F8E">
            <w:pPr>
              <w:pStyle w:val="a7"/>
              <w:ind w:left="495"/>
              <w:rPr>
                <w:sz w:val="18"/>
                <w:szCs w:val="18"/>
              </w:rPr>
            </w:pPr>
            <w:r>
              <w:rPr>
                <w:sz w:val="18"/>
                <w:szCs w:val="18"/>
              </w:rPr>
              <w:t>10</w:t>
            </w:r>
          </w:p>
        </w:tc>
        <w:tc>
          <w:tcPr>
            <w:tcW w:w="953" w:type="pct"/>
          </w:tcPr>
          <w:p w:rsidR="00F07F8E" w:rsidRPr="00F07F8E" w:rsidRDefault="00F07F8E" w:rsidP="00F07F8E">
            <w:pPr>
              <w:textAlignment w:val="baseline"/>
              <w:outlineLvl w:val="0"/>
              <w:rPr>
                <w:sz w:val="18"/>
                <w:szCs w:val="18"/>
              </w:rPr>
            </w:pPr>
            <w:r w:rsidRPr="00F07F8E">
              <w:rPr>
                <w:bCs/>
                <w:kern w:val="36"/>
                <w:sz w:val="18"/>
                <w:szCs w:val="18"/>
              </w:rPr>
              <w:t xml:space="preserve">Труба </w:t>
            </w:r>
            <w:proofErr w:type="spellStart"/>
            <w:r w:rsidRPr="00F07F8E">
              <w:rPr>
                <w:bCs/>
                <w:kern w:val="36"/>
                <w:sz w:val="18"/>
                <w:szCs w:val="18"/>
              </w:rPr>
              <w:t>VSplast</w:t>
            </w:r>
            <w:proofErr w:type="spellEnd"/>
            <w:r w:rsidRPr="00F07F8E">
              <w:rPr>
                <w:bCs/>
                <w:kern w:val="36"/>
                <w:sz w:val="18"/>
                <w:szCs w:val="18"/>
              </w:rPr>
              <w:t xml:space="preserve"> PPR-AL-</w:t>
            </w:r>
            <w:proofErr w:type="spellStart"/>
            <w:r w:rsidRPr="00F07F8E">
              <w:rPr>
                <w:bCs/>
                <w:kern w:val="36"/>
                <w:sz w:val="18"/>
                <w:szCs w:val="18"/>
              </w:rPr>
              <w:t>Pipe</w:t>
            </w:r>
            <w:proofErr w:type="spellEnd"/>
            <w:r w:rsidRPr="00F07F8E">
              <w:rPr>
                <w:bCs/>
                <w:kern w:val="36"/>
                <w:sz w:val="18"/>
                <w:szCs w:val="18"/>
              </w:rPr>
              <w:t xml:space="preserve"> ф32 NEW з алюмінієвою фольгою (GSR-0000002958)</w:t>
            </w:r>
          </w:p>
        </w:tc>
        <w:tc>
          <w:tcPr>
            <w:tcW w:w="705" w:type="pct"/>
          </w:tcPr>
          <w:p w:rsidR="00F07F8E" w:rsidRPr="00E8018B" w:rsidRDefault="00F07F8E" w:rsidP="00F07F8E">
            <w:pPr>
              <w:jc w:val="center"/>
              <w:rPr>
                <w:sz w:val="18"/>
                <w:szCs w:val="18"/>
              </w:rPr>
            </w:pPr>
          </w:p>
        </w:tc>
        <w:tc>
          <w:tcPr>
            <w:tcW w:w="606" w:type="pct"/>
          </w:tcPr>
          <w:p w:rsidR="00F07F8E" w:rsidRPr="00E8018B" w:rsidRDefault="00F07F8E" w:rsidP="00F07F8E">
            <w:pPr>
              <w:jc w:val="center"/>
              <w:rPr>
                <w:sz w:val="18"/>
                <w:szCs w:val="18"/>
              </w:rPr>
            </w:pPr>
          </w:p>
        </w:tc>
        <w:tc>
          <w:tcPr>
            <w:tcW w:w="307" w:type="pct"/>
          </w:tcPr>
          <w:p w:rsidR="00F07F8E" w:rsidRDefault="00F07F8E" w:rsidP="00F07F8E">
            <w:pPr>
              <w:jc w:val="center"/>
              <w:rPr>
                <w:bCs/>
                <w:kern w:val="32"/>
                <w:sz w:val="18"/>
                <w:szCs w:val="18"/>
                <w:lang w:bidi="en-US"/>
              </w:rPr>
            </w:pPr>
            <w:proofErr w:type="spellStart"/>
            <w:r>
              <w:rPr>
                <w:bCs/>
                <w:kern w:val="32"/>
                <w:sz w:val="18"/>
                <w:szCs w:val="18"/>
                <w:lang w:bidi="en-US"/>
              </w:rPr>
              <w:t>шт</w:t>
            </w:r>
            <w:proofErr w:type="spellEnd"/>
          </w:p>
        </w:tc>
        <w:tc>
          <w:tcPr>
            <w:tcW w:w="492" w:type="pct"/>
          </w:tcPr>
          <w:p w:rsidR="00F07F8E" w:rsidRPr="00F07F8E" w:rsidRDefault="00F07F8E" w:rsidP="00F07F8E">
            <w:pPr>
              <w:widowControl w:val="0"/>
              <w:suppressAutoHyphens/>
              <w:jc w:val="center"/>
              <w:rPr>
                <w:rFonts w:eastAsia="Arial"/>
                <w:sz w:val="18"/>
                <w:szCs w:val="18"/>
                <w:lang w:bidi="en-US"/>
              </w:rPr>
            </w:pPr>
          </w:p>
          <w:p w:rsidR="00F07F8E" w:rsidRPr="00F07F8E" w:rsidRDefault="00F07F8E" w:rsidP="00F07F8E">
            <w:pPr>
              <w:widowControl w:val="0"/>
              <w:suppressAutoHyphens/>
              <w:jc w:val="center"/>
              <w:rPr>
                <w:rFonts w:eastAsia="Arial"/>
                <w:sz w:val="18"/>
                <w:szCs w:val="18"/>
                <w:lang w:bidi="en-US"/>
              </w:rPr>
            </w:pPr>
            <w:r w:rsidRPr="00F07F8E">
              <w:rPr>
                <w:rFonts w:eastAsia="Arial"/>
                <w:sz w:val="18"/>
                <w:szCs w:val="18"/>
                <w:lang w:bidi="en-US"/>
              </w:rPr>
              <w:t>24</w:t>
            </w:r>
          </w:p>
        </w:tc>
        <w:tc>
          <w:tcPr>
            <w:tcW w:w="734" w:type="pct"/>
            <w:vAlign w:val="center"/>
          </w:tcPr>
          <w:p w:rsidR="00F07F8E" w:rsidRPr="00A74807" w:rsidRDefault="00F07F8E" w:rsidP="00F07F8E">
            <w:pPr>
              <w:jc w:val="center"/>
              <w:rPr>
                <w:sz w:val="18"/>
                <w:szCs w:val="18"/>
              </w:rPr>
            </w:pPr>
          </w:p>
        </w:tc>
        <w:tc>
          <w:tcPr>
            <w:tcW w:w="734" w:type="pct"/>
            <w:vAlign w:val="center"/>
          </w:tcPr>
          <w:p w:rsidR="00F07F8E" w:rsidRPr="00A74807" w:rsidRDefault="00F07F8E" w:rsidP="00F07F8E">
            <w:pPr>
              <w:jc w:val="center"/>
              <w:rPr>
                <w:sz w:val="18"/>
                <w:szCs w:val="18"/>
              </w:rPr>
            </w:pPr>
          </w:p>
        </w:tc>
      </w:tr>
      <w:tr w:rsidR="00B96462" w:rsidRPr="00A74807" w:rsidTr="00F07F8E">
        <w:trPr>
          <w:trHeight w:val="85"/>
        </w:trPr>
        <w:tc>
          <w:tcPr>
            <w:tcW w:w="468" w:type="pct"/>
            <w:vAlign w:val="center"/>
          </w:tcPr>
          <w:p w:rsidR="00B96462" w:rsidRDefault="00B96462" w:rsidP="007A484D">
            <w:pPr>
              <w:pStyle w:val="a7"/>
              <w:ind w:left="495"/>
              <w:rPr>
                <w:sz w:val="18"/>
                <w:szCs w:val="18"/>
              </w:rPr>
            </w:pPr>
          </w:p>
        </w:tc>
        <w:tc>
          <w:tcPr>
            <w:tcW w:w="953" w:type="pct"/>
          </w:tcPr>
          <w:p w:rsidR="00B96462" w:rsidRPr="00200E2B" w:rsidRDefault="00B96462" w:rsidP="00B602A2">
            <w:r>
              <w:t>Всього</w:t>
            </w:r>
          </w:p>
        </w:tc>
        <w:tc>
          <w:tcPr>
            <w:tcW w:w="705" w:type="pct"/>
          </w:tcPr>
          <w:p w:rsidR="00B96462" w:rsidRDefault="00B96462" w:rsidP="003A412C">
            <w:pPr>
              <w:jc w:val="center"/>
              <w:rPr>
                <w:sz w:val="18"/>
                <w:szCs w:val="18"/>
              </w:rPr>
            </w:pPr>
          </w:p>
        </w:tc>
        <w:tc>
          <w:tcPr>
            <w:tcW w:w="606" w:type="pct"/>
          </w:tcPr>
          <w:p w:rsidR="00B96462" w:rsidRDefault="00B96462" w:rsidP="003A412C">
            <w:pPr>
              <w:jc w:val="center"/>
              <w:rPr>
                <w:sz w:val="18"/>
                <w:szCs w:val="18"/>
              </w:rPr>
            </w:pPr>
          </w:p>
        </w:tc>
        <w:tc>
          <w:tcPr>
            <w:tcW w:w="307" w:type="pct"/>
            <w:vAlign w:val="center"/>
          </w:tcPr>
          <w:p w:rsidR="00B96462" w:rsidRDefault="00B96462" w:rsidP="003A412C">
            <w:pPr>
              <w:jc w:val="center"/>
              <w:rPr>
                <w:sz w:val="18"/>
                <w:szCs w:val="18"/>
              </w:rPr>
            </w:pPr>
          </w:p>
        </w:tc>
        <w:tc>
          <w:tcPr>
            <w:tcW w:w="492" w:type="pct"/>
            <w:vAlign w:val="center"/>
          </w:tcPr>
          <w:p w:rsidR="00B96462" w:rsidRPr="00A74807" w:rsidRDefault="00B96462" w:rsidP="007A484D">
            <w:pPr>
              <w:jc w:val="center"/>
              <w:rPr>
                <w:sz w:val="18"/>
                <w:szCs w:val="18"/>
              </w:rPr>
            </w:pPr>
          </w:p>
        </w:tc>
        <w:tc>
          <w:tcPr>
            <w:tcW w:w="734" w:type="pct"/>
            <w:vAlign w:val="center"/>
          </w:tcPr>
          <w:p w:rsidR="00B96462" w:rsidRPr="00A74807" w:rsidRDefault="00B96462" w:rsidP="003A412C">
            <w:pPr>
              <w:jc w:val="center"/>
              <w:rPr>
                <w:sz w:val="18"/>
                <w:szCs w:val="18"/>
              </w:rPr>
            </w:pPr>
          </w:p>
        </w:tc>
        <w:tc>
          <w:tcPr>
            <w:tcW w:w="734"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lastRenderedPageBreak/>
        <w:t>4. ПОРЯДОК ЗДІЙСНЕННЯ ОПЛАТИ</w:t>
      </w:r>
    </w:p>
    <w:p w:rsidR="00F90C85" w:rsidRPr="00A74807" w:rsidRDefault="003808DA" w:rsidP="003808DA">
      <w:pPr>
        <w:ind w:left="1134" w:right="-1134"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3808DA" w:rsidP="003808DA">
      <w:pPr>
        <w:ind w:left="707" w:firstLine="709"/>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5. ПОСТАВКА ТОВАРУ</w:t>
      </w:r>
    </w:p>
    <w:p w:rsidR="00F90C85" w:rsidRDefault="003808DA" w:rsidP="003808DA">
      <w:pPr>
        <w:ind w:left="1134"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3808DA">
      <w:pPr>
        <w:ind w:left="707"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3808DA">
      <w:pPr>
        <w:ind w:left="707" w:right="-993" w:firstLine="709"/>
        <w:jc w:val="both"/>
        <w:rPr>
          <w:color w:val="000000"/>
          <w:sz w:val="18"/>
          <w:szCs w:val="18"/>
        </w:rPr>
      </w:pPr>
      <w:r w:rsidRPr="00A74807">
        <w:rPr>
          <w:color w:val="000000"/>
          <w:sz w:val="18"/>
          <w:szCs w:val="18"/>
        </w:rPr>
        <w:t>6.1. ПОКУПЕЦЬ зобов'язаний:</w:t>
      </w:r>
    </w:p>
    <w:p w:rsidR="00F90C85" w:rsidRPr="00A74807" w:rsidRDefault="00F90C85" w:rsidP="003808DA">
      <w:pPr>
        <w:ind w:left="707" w:right="-993"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3808DA">
      <w:pPr>
        <w:ind w:left="707" w:right="-993"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3808DA">
      <w:pPr>
        <w:ind w:left="707" w:right="-993"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3808DA">
      <w:pPr>
        <w:ind w:left="707" w:right="-993" w:firstLine="709"/>
        <w:jc w:val="both"/>
        <w:rPr>
          <w:color w:val="000000"/>
          <w:sz w:val="18"/>
          <w:szCs w:val="18"/>
        </w:rPr>
      </w:pPr>
      <w:r w:rsidRPr="00A74807">
        <w:rPr>
          <w:color w:val="000000"/>
          <w:sz w:val="18"/>
          <w:szCs w:val="18"/>
        </w:rPr>
        <w:t>6.2. ПОКУПЕЦЬ має право:</w:t>
      </w:r>
    </w:p>
    <w:p w:rsidR="00F90C85" w:rsidRPr="00A74807" w:rsidRDefault="00F90C85" w:rsidP="003808DA">
      <w:pPr>
        <w:ind w:left="1134" w:right="-993" w:firstLine="709"/>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3808DA">
      <w:pPr>
        <w:ind w:left="1134" w:right="-993"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3808DA">
      <w:pPr>
        <w:ind w:left="1134" w:right="-993"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90C85" w:rsidRDefault="00F90C85" w:rsidP="003808DA">
      <w:pPr>
        <w:ind w:left="1134" w:right="-993" w:firstLine="709"/>
        <w:jc w:val="both"/>
        <w:rPr>
          <w:color w:val="000000"/>
          <w:sz w:val="18"/>
          <w:szCs w:val="18"/>
        </w:rPr>
      </w:pPr>
      <w:r>
        <w:rPr>
          <w:color w:val="000000"/>
          <w:sz w:val="18"/>
          <w:szCs w:val="18"/>
        </w:rPr>
        <w:t xml:space="preserve"> </w:t>
      </w:r>
      <w:r>
        <w:rPr>
          <w:color w:val="000000"/>
          <w:sz w:val="18"/>
          <w:szCs w:val="18"/>
        </w:rPr>
        <w:tab/>
      </w:r>
      <w:r w:rsidRPr="00A74807">
        <w:rPr>
          <w:color w:val="000000"/>
          <w:sz w:val="18"/>
          <w:szCs w:val="18"/>
        </w:rPr>
        <w:t>6.2.4. Повернути рахунки-фактури (накладні) ПРОДАВЦЮ без здійснення оплати в разі не надання або</w:t>
      </w:r>
    </w:p>
    <w:p w:rsidR="00F90C85" w:rsidRPr="00A74807" w:rsidRDefault="00F90C85" w:rsidP="003808DA">
      <w:pPr>
        <w:ind w:left="1134" w:right="-993" w:firstLine="709"/>
        <w:jc w:val="both"/>
        <w:rPr>
          <w:color w:val="000000"/>
          <w:sz w:val="18"/>
          <w:szCs w:val="18"/>
        </w:rPr>
      </w:pP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3808DA">
      <w:pPr>
        <w:ind w:left="1134" w:right="-993" w:firstLine="709"/>
        <w:jc w:val="both"/>
        <w:rPr>
          <w:color w:val="000000"/>
          <w:sz w:val="18"/>
          <w:szCs w:val="18"/>
        </w:rPr>
      </w:pPr>
      <w:r>
        <w:rPr>
          <w:color w:val="000000"/>
          <w:sz w:val="18"/>
          <w:szCs w:val="18"/>
        </w:rPr>
        <w:t xml:space="preserve"> </w:t>
      </w:r>
      <w:r>
        <w:rPr>
          <w:color w:val="000000"/>
          <w:sz w:val="18"/>
          <w:szCs w:val="18"/>
        </w:rPr>
        <w:tab/>
      </w:r>
      <w:r w:rsidRPr="00A74807">
        <w:rPr>
          <w:color w:val="000000"/>
          <w:sz w:val="18"/>
          <w:szCs w:val="18"/>
        </w:rPr>
        <w:t>6.3. ПРОДАВЕЦЬ зобов'язаний:</w:t>
      </w:r>
    </w:p>
    <w:p w:rsidR="00F90C85" w:rsidRPr="00A74807" w:rsidRDefault="00F90C85" w:rsidP="003808DA">
      <w:pPr>
        <w:ind w:left="1134" w:right="-993" w:firstLine="709"/>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F90C85" w:rsidRDefault="00F90C85" w:rsidP="003808DA">
      <w:pPr>
        <w:ind w:left="1134" w:right="-993" w:firstLine="709"/>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p>
    <w:p w:rsidR="00F90C85" w:rsidRPr="00A74807" w:rsidRDefault="00F90C85" w:rsidP="003808DA">
      <w:pPr>
        <w:ind w:left="1134" w:right="-993" w:firstLine="709"/>
        <w:jc w:val="both"/>
        <w:rPr>
          <w:color w:val="000000"/>
          <w:sz w:val="18"/>
          <w:szCs w:val="18"/>
        </w:rPr>
      </w:pPr>
      <w:r>
        <w:rPr>
          <w:color w:val="000000"/>
          <w:sz w:val="18"/>
          <w:szCs w:val="18"/>
        </w:rPr>
        <w:t xml:space="preserve"> Д</w:t>
      </w:r>
      <w:r w:rsidRPr="00A74807">
        <w:rPr>
          <w:color w:val="000000"/>
          <w:sz w:val="18"/>
          <w:szCs w:val="18"/>
        </w:rPr>
        <w:t>оговору.</w:t>
      </w:r>
    </w:p>
    <w:p w:rsidR="00F90C85" w:rsidRPr="00A74807" w:rsidRDefault="00F90C85" w:rsidP="003808DA">
      <w:pPr>
        <w:ind w:left="1134" w:right="-993" w:firstLine="709"/>
        <w:jc w:val="both"/>
        <w:rPr>
          <w:color w:val="000000"/>
          <w:sz w:val="18"/>
          <w:szCs w:val="18"/>
        </w:rPr>
      </w:pPr>
      <w:r>
        <w:rPr>
          <w:color w:val="000000"/>
          <w:sz w:val="18"/>
          <w:szCs w:val="18"/>
        </w:rPr>
        <w:t xml:space="preserve">                </w:t>
      </w:r>
      <w:r w:rsidRPr="00A74807">
        <w:rPr>
          <w:color w:val="000000"/>
          <w:sz w:val="18"/>
          <w:szCs w:val="18"/>
        </w:rPr>
        <w:t>6.4. ПРОДАВЕЦЬ має право:</w:t>
      </w:r>
    </w:p>
    <w:p w:rsidR="00F90C85" w:rsidRPr="00A74807" w:rsidRDefault="00F90C85" w:rsidP="003808DA">
      <w:pPr>
        <w:ind w:left="1134" w:right="-993" w:firstLine="709"/>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F90C85" w:rsidRPr="00A74807" w:rsidRDefault="00F90C85" w:rsidP="003808DA">
      <w:pPr>
        <w:ind w:left="1134" w:right="-993" w:firstLine="709"/>
        <w:jc w:val="both"/>
        <w:rPr>
          <w:color w:val="000000"/>
          <w:sz w:val="18"/>
          <w:szCs w:val="18"/>
        </w:rPr>
      </w:pPr>
      <w:r>
        <w:rPr>
          <w:color w:val="000000"/>
          <w:sz w:val="18"/>
          <w:szCs w:val="18"/>
        </w:rPr>
        <w:t xml:space="preserve">                </w:t>
      </w:r>
      <w:r w:rsidRPr="00A74807">
        <w:rPr>
          <w:color w:val="000000"/>
          <w:sz w:val="18"/>
          <w:szCs w:val="18"/>
        </w:rPr>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3808DA">
      <w:pPr>
        <w:ind w:left="1134"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3808DA">
      <w:pPr>
        <w:ind w:left="1134"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3808DA">
      <w:pPr>
        <w:ind w:left="1134"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3808DA">
      <w:pPr>
        <w:ind w:left="1134"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3808DA">
      <w:pPr>
        <w:ind w:left="1134" w:right="-993" w:firstLine="709"/>
        <w:jc w:val="both"/>
        <w:rPr>
          <w:b/>
          <w:bCs/>
          <w:color w:val="000000"/>
          <w:sz w:val="18"/>
          <w:szCs w:val="18"/>
        </w:rPr>
      </w:pPr>
      <w:r>
        <w:rPr>
          <w:b/>
          <w:bCs/>
          <w:color w:val="000000"/>
          <w:sz w:val="18"/>
          <w:szCs w:val="18"/>
        </w:rPr>
        <w:tab/>
      </w: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3808DA">
      <w:pPr>
        <w:ind w:left="1134"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3808DA">
      <w:pPr>
        <w:ind w:left="1134"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3808DA">
      <w:pPr>
        <w:ind w:left="1134" w:right="-993"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3808DA">
      <w:pPr>
        <w:ind w:left="1134"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3808DA">
      <w:pPr>
        <w:ind w:left="1134"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3808DA">
      <w:pPr>
        <w:ind w:left="1134" w:right="-993" w:firstLine="720"/>
        <w:jc w:val="both"/>
        <w:rPr>
          <w:sz w:val="18"/>
          <w:szCs w:val="18"/>
          <w:highlight w:val="white"/>
        </w:rPr>
      </w:pPr>
      <w:r w:rsidRPr="00F27706">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w:t>
      </w:r>
      <w:r w:rsidRPr="00F27706">
        <w:rPr>
          <w:sz w:val="18"/>
          <w:szCs w:val="18"/>
          <w:highlight w:val="white"/>
        </w:rPr>
        <w:lastRenderedPageBreak/>
        <w:t>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3808DA">
      <w:pPr>
        <w:ind w:right="14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3808DA">
      <w:pPr>
        <w:ind w:right="14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3808DA">
      <w:pPr>
        <w:ind w:right="14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F90C85">
      <w:pPr>
        <w:ind w:right="-851"/>
        <w:jc w:val="both"/>
        <w:rPr>
          <w:b/>
          <w:color w:val="FF0000"/>
          <w:sz w:val="18"/>
          <w:szCs w:val="18"/>
        </w:rPr>
      </w:pPr>
    </w:p>
    <w:p w:rsidR="00F90C85" w:rsidRPr="00A74807" w:rsidRDefault="00F90C85" w:rsidP="00F90C85">
      <w:pPr>
        <w:ind w:right="-851" w:firstLine="709"/>
        <w:jc w:val="center"/>
        <w:rPr>
          <w:b/>
          <w:bCs/>
          <w:color w:val="000000"/>
          <w:sz w:val="18"/>
          <w:szCs w:val="18"/>
        </w:rPr>
      </w:pPr>
      <w:r w:rsidRPr="00A74807">
        <w:rPr>
          <w:b/>
          <w:bCs/>
          <w:color w:val="000000"/>
          <w:sz w:val="18"/>
          <w:szCs w:val="18"/>
        </w:rPr>
        <w:t>9. ВИРІШЕННЯ СПОРІВ</w:t>
      </w:r>
    </w:p>
    <w:p w:rsidR="00F90C85" w:rsidRPr="00A74807" w:rsidRDefault="00F90C85" w:rsidP="00FC6D24">
      <w:pPr>
        <w:ind w:right="-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F90C85" w:rsidP="00F90C85">
      <w:pPr>
        <w:ind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F90C85" w:rsidRPr="00F27706" w:rsidRDefault="00F90C85" w:rsidP="00F90C85">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F90C85" w:rsidRPr="00D210A9" w:rsidRDefault="00F90C85" w:rsidP="00F90C85">
      <w:pPr>
        <w:ind w:right="-1" w:firstLine="708"/>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F90C85">
      <w:pPr>
        <w:ind w:right="-1"/>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F90C85">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F90C85">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F90C85">
      <w:pPr>
        <w:ind w:right="-1" w:firstLine="708"/>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0C85" w:rsidRPr="00D210A9" w:rsidRDefault="00F90C85" w:rsidP="00F90C85">
      <w:pPr>
        <w:ind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F90C85">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F90C85">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F90C85">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F90C85">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F90C85">
      <w:pPr>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F90C85">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F90C85">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F90C85">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lastRenderedPageBreak/>
        <w:t>12. АНТИКОРУПЦІЙНЕ ЗАСТЕРЕЖЕННЯ</w:t>
      </w:r>
    </w:p>
    <w:p w:rsidR="00C43955" w:rsidRDefault="00F90C85" w:rsidP="00457F82">
      <w:pPr>
        <w:ind w:left="993" w:right="-993"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p>
    <w:p w:rsidR="00C43955" w:rsidRDefault="00C43955" w:rsidP="00457F82">
      <w:pPr>
        <w:ind w:left="993" w:right="-993" w:firstLine="709"/>
        <w:jc w:val="both"/>
        <w:rPr>
          <w:sz w:val="18"/>
          <w:szCs w:val="18"/>
        </w:rPr>
      </w:pPr>
      <w:r>
        <w:rPr>
          <w:sz w:val="18"/>
          <w:szCs w:val="18"/>
        </w:rPr>
        <w:t xml:space="preserve">         </w:t>
      </w:r>
      <w:r w:rsidR="00F90C85" w:rsidRPr="00D210A9">
        <w:rPr>
          <w:sz w:val="18"/>
          <w:szCs w:val="18"/>
        </w:rPr>
        <w:t xml:space="preserve"> злочинним шляхом; вживати всіх можливих заходів, які є необіжними та достатніми для запобігання, виявлення і </w:t>
      </w:r>
    </w:p>
    <w:p w:rsidR="005C2241" w:rsidRDefault="00F90C85" w:rsidP="00457F82">
      <w:pPr>
        <w:ind w:left="993" w:right="-993"/>
        <w:jc w:val="both"/>
        <w:rPr>
          <w:sz w:val="18"/>
          <w:szCs w:val="18"/>
        </w:rPr>
      </w:pPr>
      <w:r w:rsidRPr="00D210A9">
        <w:rPr>
          <w:sz w:val="18"/>
          <w:szCs w:val="18"/>
        </w:rPr>
        <w:t>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p>
    <w:p w:rsidR="00F90C85" w:rsidRPr="00F27706" w:rsidRDefault="00C43955" w:rsidP="00457F82">
      <w:pPr>
        <w:ind w:left="993" w:right="-993" w:hanging="283"/>
        <w:jc w:val="both"/>
        <w:rPr>
          <w:sz w:val="18"/>
          <w:szCs w:val="18"/>
        </w:rPr>
      </w:pPr>
      <w:r>
        <w:rPr>
          <w:sz w:val="18"/>
          <w:szCs w:val="18"/>
        </w:rPr>
        <w:t xml:space="preserve">      </w:t>
      </w:r>
      <w:r w:rsidR="00F90C85" w:rsidRPr="00D210A9">
        <w:rPr>
          <w:sz w:val="18"/>
          <w:szCs w:val="18"/>
        </w:rPr>
        <w:t>будь яких осіб за вчинення чи невчинення такою особою будь-яких дій з метою отримання неправомірної вигоди</w:t>
      </w:r>
      <w:r w:rsidR="00F90C85">
        <w:rPr>
          <w:sz w:val="18"/>
          <w:szCs w:val="18"/>
        </w:rPr>
        <w:t xml:space="preserve">                       </w:t>
      </w:r>
      <w:r w:rsidR="00F90C85" w:rsidRPr="00D210A9">
        <w:rPr>
          <w:sz w:val="18"/>
          <w:szCs w:val="18"/>
        </w:rPr>
        <w:t>обіцянки неправомірної вигоди) від таких осіб.</w:t>
      </w:r>
    </w:p>
    <w:p w:rsidR="00F90C85" w:rsidRPr="00F27706" w:rsidRDefault="00C43955" w:rsidP="00457F82">
      <w:pPr>
        <w:ind w:left="993" w:right="-993" w:hanging="283"/>
        <w:jc w:val="both"/>
        <w:rPr>
          <w:sz w:val="18"/>
          <w:szCs w:val="18"/>
        </w:rPr>
      </w:pPr>
      <w:r>
        <w:rPr>
          <w:sz w:val="18"/>
          <w:szCs w:val="18"/>
        </w:rPr>
        <w:t xml:space="preserve">                    </w:t>
      </w:r>
      <w:r w:rsidR="00F90C85"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00F90C85"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F90C85" w:rsidRPr="00A74807" w:rsidRDefault="00F90C85" w:rsidP="00F90C85">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F90C85" w:rsidRPr="00A74807" w:rsidRDefault="00F90C85" w:rsidP="00F90C85">
      <w:pPr>
        <w:ind w:left="708"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31.12.2023</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F90C85">
      <w:pPr>
        <w:tabs>
          <w:tab w:val="left" w:pos="709"/>
          <w:tab w:val="left" w:pos="851"/>
        </w:tabs>
        <w:ind w:left="851" w:right="-851" w:hanging="851"/>
        <w:jc w:val="both"/>
        <w:rPr>
          <w:b/>
          <w:bCs/>
          <w:sz w:val="18"/>
          <w:szCs w:val="18"/>
        </w:rPr>
      </w:pPr>
      <w:r>
        <w:rPr>
          <w:sz w:val="18"/>
          <w:szCs w:val="18"/>
        </w:rPr>
        <w:tab/>
      </w:r>
      <w:r>
        <w:rPr>
          <w:sz w:val="18"/>
          <w:szCs w:val="18"/>
        </w:rPr>
        <w:tab/>
      </w: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bookmarkStart w:id="0" w:name="_GoBack"/>
      <w:bookmarkEnd w:id="0"/>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C1F29"/>
    <w:rsid w:val="00153A77"/>
    <w:rsid w:val="00167DA2"/>
    <w:rsid w:val="00183BA9"/>
    <w:rsid w:val="001D04B4"/>
    <w:rsid w:val="00200E2B"/>
    <w:rsid w:val="00212779"/>
    <w:rsid w:val="00241BF1"/>
    <w:rsid w:val="00304816"/>
    <w:rsid w:val="003050B9"/>
    <w:rsid w:val="003330DB"/>
    <w:rsid w:val="00347611"/>
    <w:rsid w:val="00354767"/>
    <w:rsid w:val="0038006E"/>
    <w:rsid w:val="003808DA"/>
    <w:rsid w:val="00390876"/>
    <w:rsid w:val="0040078D"/>
    <w:rsid w:val="00421C35"/>
    <w:rsid w:val="00437683"/>
    <w:rsid w:val="00443ADB"/>
    <w:rsid w:val="00444A3D"/>
    <w:rsid w:val="00453361"/>
    <w:rsid w:val="00457F82"/>
    <w:rsid w:val="004A3E79"/>
    <w:rsid w:val="005B11E2"/>
    <w:rsid w:val="005C1D88"/>
    <w:rsid w:val="005C2241"/>
    <w:rsid w:val="005E01C7"/>
    <w:rsid w:val="005E033A"/>
    <w:rsid w:val="006021B7"/>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43955"/>
    <w:rsid w:val="00CA7257"/>
    <w:rsid w:val="00CD7963"/>
    <w:rsid w:val="00D11121"/>
    <w:rsid w:val="00D210A9"/>
    <w:rsid w:val="00D25EE1"/>
    <w:rsid w:val="00D26B31"/>
    <w:rsid w:val="00D41968"/>
    <w:rsid w:val="00D66995"/>
    <w:rsid w:val="00D67BA7"/>
    <w:rsid w:val="00DA0A8E"/>
    <w:rsid w:val="00DB2D62"/>
    <w:rsid w:val="00DD76B2"/>
    <w:rsid w:val="00DF2A46"/>
    <w:rsid w:val="00E04762"/>
    <w:rsid w:val="00E104B8"/>
    <w:rsid w:val="00E2784C"/>
    <w:rsid w:val="00E37EB6"/>
    <w:rsid w:val="00E8018B"/>
    <w:rsid w:val="00E9678A"/>
    <w:rsid w:val="00EA0C3F"/>
    <w:rsid w:val="00EA0F2F"/>
    <w:rsid w:val="00EF2E1C"/>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CBB"/>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8D4B-EE3C-41B4-BED7-44A933CD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29</cp:revision>
  <cp:lastPrinted>2023-09-20T09:01:00Z</cp:lastPrinted>
  <dcterms:created xsi:type="dcterms:W3CDTF">2021-07-12T07:54:00Z</dcterms:created>
  <dcterms:modified xsi:type="dcterms:W3CDTF">2023-09-20T09:01:00Z</dcterms:modified>
</cp:coreProperties>
</file>