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122C" w:rsidRPr="000F5D4F" w:rsidRDefault="004A122C" w:rsidP="004A122C">
      <w:pPr>
        <w:spacing w:after="0" w:line="240" w:lineRule="auto"/>
        <w:contextualSpacing/>
        <w:jc w:val="right"/>
        <w:rPr>
          <w:rFonts w:ascii="Times New Roman" w:hAnsi="Times New Roman" w:cs="Times New Roman"/>
          <w:b/>
          <w:bCs/>
          <w:sz w:val="24"/>
          <w:szCs w:val="24"/>
        </w:rPr>
      </w:pPr>
      <w:r w:rsidRPr="000F5D4F">
        <w:rPr>
          <w:rFonts w:ascii="Times New Roman" w:hAnsi="Times New Roman" w:cs="Times New Roman"/>
          <w:b/>
          <w:bCs/>
          <w:sz w:val="24"/>
          <w:szCs w:val="24"/>
        </w:rPr>
        <w:t>Додаток №2</w:t>
      </w:r>
    </w:p>
    <w:p w:rsidR="004A122C" w:rsidRPr="000F5D4F" w:rsidRDefault="004A122C" w:rsidP="004A122C">
      <w:pPr>
        <w:spacing w:after="0" w:line="240" w:lineRule="auto"/>
        <w:contextualSpacing/>
        <w:jc w:val="center"/>
        <w:rPr>
          <w:rFonts w:ascii="Times New Roman" w:hAnsi="Times New Roman" w:cs="Times New Roman"/>
          <w:b/>
          <w:bCs/>
          <w:sz w:val="24"/>
          <w:szCs w:val="24"/>
        </w:rPr>
      </w:pPr>
      <w:r w:rsidRPr="000F5D4F">
        <w:rPr>
          <w:rFonts w:ascii="Times New Roman" w:hAnsi="Times New Roman" w:cs="Times New Roman"/>
          <w:b/>
          <w:bCs/>
          <w:sz w:val="24"/>
          <w:szCs w:val="24"/>
        </w:rPr>
        <w:t>Технічна специфікація</w:t>
      </w:r>
    </w:p>
    <w:p w:rsidR="004A122C" w:rsidRPr="000F5D4F" w:rsidRDefault="004A122C" w:rsidP="004A122C">
      <w:pPr>
        <w:spacing w:after="0" w:line="240" w:lineRule="auto"/>
        <w:jc w:val="center"/>
        <w:rPr>
          <w:rFonts w:ascii="Times New Roman" w:eastAsia="Calibri"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2"/>
        <w:gridCol w:w="3141"/>
        <w:gridCol w:w="2796"/>
      </w:tblGrid>
      <w:tr w:rsidR="004A122C" w:rsidRPr="000F5D4F" w:rsidTr="00150CFF">
        <w:trPr>
          <w:trHeight w:val="426"/>
        </w:trPr>
        <w:tc>
          <w:tcPr>
            <w:tcW w:w="1917" w:type="pct"/>
            <w:tcBorders>
              <w:top w:val="single" w:sz="4" w:space="0" w:color="auto"/>
              <w:left w:val="single" w:sz="4" w:space="0" w:color="auto"/>
              <w:bottom w:val="single" w:sz="4" w:space="0" w:color="auto"/>
              <w:right w:val="single" w:sz="4" w:space="0" w:color="auto"/>
            </w:tcBorders>
            <w:shd w:val="clear" w:color="auto" w:fill="auto"/>
            <w:hideMark/>
          </w:tcPr>
          <w:p w:rsidR="004A122C" w:rsidRPr="000F5D4F" w:rsidRDefault="004A122C" w:rsidP="00150CFF">
            <w:pPr>
              <w:spacing w:after="0" w:line="240" w:lineRule="auto"/>
              <w:jc w:val="center"/>
              <w:rPr>
                <w:rFonts w:ascii="Times New Roman" w:eastAsia="Calibri" w:hAnsi="Times New Roman" w:cs="Times New Roman"/>
                <w:b/>
                <w:sz w:val="24"/>
                <w:szCs w:val="24"/>
                <w:lang w:eastAsia="ru-RU"/>
              </w:rPr>
            </w:pPr>
            <w:r w:rsidRPr="000F5D4F">
              <w:rPr>
                <w:rFonts w:ascii="Times New Roman" w:eastAsia="Calibri" w:hAnsi="Times New Roman" w:cs="Times New Roman"/>
                <w:b/>
                <w:sz w:val="24"/>
                <w:szCs w:val="24"/>
                <w:lang w:eastAsia="ru-RU"/>
              </w:rPr>
              <w:t>Товар</w:t>
            </w:r>
          </w:p>
        </w:tc>
        <w:tc>
          <w:tcPr>
            <w:tcW w:w="1631" w:type="pct"/>
            <w:tcBorders>
              <w:top w:val="single" w:sz="4" w:space="0" w:color="auto"/>
              <w:left w:val="single" w:sz="4" w:space="0" w:color="auto"/>
              <w:bottom w:val="single" w:sz="4" w:space="0" w:color="auto"/>
              <w:right w:val="single" w:sz="4" w:space="0" w:color="auto"/>
            </w:tcBorders>
            <w:shd w:val="clear" w:color="auto" w:fill="auto"/>
            <w:hideMark/>
          </w:tcPr>
          <w:p w:rsidR="004A122C" w:rsidRPr="000F5D4F" w:rsidRDefault="004A122C" w:rsidP="00150CFF">
            <w:pPr>
              <w:spacing w:after="0" w:line="240" w:lineRule="auto"/>
              <w:jc w:val="center"/>
              <w:rPr>
                <w:rFonts w:ascii="Times New Roman" w:eastAsia="Calibri" w:hAnsi="Times New Roman" w:cs="Times New Roman"/>
                <w:b/>
                <w:sz w:val="24"/>
                <w:szCs w:val="24"/>
                <w:lang w:eastAsia="ru-RU"/>
              </w:rPr>
            </w:pPr>
            <w:r w:rsidRPr="000F5D4F">
              <w:rPr>
                <w:rFonts w:ascii="Times New Roman" w:eastAsia="Calibri" w:hAnsi="Times New Roman" w:cs="Times New Roman"/>
                <w:b/>
                <w:sz w:val="24"/>
                <w:szCs w:val="24"/>
                <w:lang w:eastAsia="ru-RU"/>
              </w:rPr>
              <w:t>Одиниця виміру</w:t>
            </w:r>
          </w:p>
        </w:tc>
        <w:tc>
          <w:tcPr>
            <w:tcW w:w="1452" w:type="pct"/>
            <w:tcBorders>
              <w:top w:val="single" w:sz="4" w:space="0" w:color="auto"/>
              <w:left w:val="single" w:sz="4" w:space="0" w:color="auto"/>
              <w:bottom w:val="single" w:sz="4" w:space="0" w:color="auto"/>
              <w:right w:val="single" w:sz="4" w:space="0" w:color="auto"/>
            </w:tcBorders>
            <w:shd w:val="clear" w:color="auto" w:fill="auto"/>
            <w:hideMark/>
          </w:tcPr>
          <w:p w:rsidR="004A122C" w:rsidRPr="000F5D4F" w:rsidRDefault="004A122C" w:rsidP="00150CFF">
            <w:pPr>
              <w:spacing w:after="0" w:line="240" w:lineRule="auto"/>
              <w:jc w:val="center"/>
              <w:rPr>
                <w:rFonts w:ascii="Times New Roman" w:eastAsia="Calibri" w:hAnsi="Times New Roman" w:cs="Times New Roman"/>
                <w:b/>
                <w:sz w:val="24"/>
                <w:szCs w:val="24"/>
                <w:lang w:eastAsia="ru-RU"/>
              </w:rPr>
            </w:pPr>
            <w:r w:rsidRPr="000F5D4F">
              <w:rPr>
                <w:rFonts w:ascii="Times New Roman" w:eastAsia="Calibri" w:hAnsi="Times New Roman" w:cs="Times New Roman"/>
                <w:b/>
                <w:sz w:val="24"/>
                <w:szCs w:val="24"/>
                <w:lang w:eastAsia="ru-RU"/>
              </w:rPr>
              <w:t>Кількість</w:t>
            </w:r>
          </w:p>
        </w:tc>
      </w:tr>
      <w:tr w:rsidR="004A122C" w:rsidRPr="000F5D4F" w:rsidTr="00150CFF">
        <w:trPr>
          <w:trHeight w:val="1064"/>
        </w:trPr>
        <w:tc>
          <w:tcPr>
            <w:tcW w:w="1917" w:type="pct"/>
            <w:tcBorders>
              <w:top w:val="single" w:sz="4" w:space="0" w:color="auto"/>
              <w:left w:val="single" w:sz="4" w:space="0" w:color="auto"/>
              <w:bottom w:val="single" w:sz="4" w:space="0" w:color="auto"/>
              <w:right w:val="single" w:sz="4" w:space="0" w:color="auto"/>
            </w:tcBorders>
            <w:shd w:val="clear" w:color="auto" w:fill="auto"/>
          </w:tcPr>
          <w:p w:rsidR="004A122C" w:rsidRPr="00A66A68" w:rsidRDefault="004A122C" w:rsidP="00150CFF">
            <w:pPr>
              <w:spacing w:after="0" w:line="240" w:lineRule="auto"/>
              <w:jc w:val="center"/>
              <w:rPr>
                <w:rFonts w:ascii="Times New Roman" w:eastAsia="Calibri" w:hAnsi="Times New Roman" w:cs="Times New Roman"/>
                <w:sz w:val="24"/>
                <w:szCs w:val="24"/>
                <w:lang w:eastAsia="ru-RU"/>
              </w:rPr>
            </w:pPr>
          </w:p>
          <w:p w:rsidR="004A122C" w:rsidRPr="00A66A68" w:rsidRDefault="004A122C" w:rsidP="00150CFF">
            <w:pPr>
              <w:spacing w:after="0" w:line="240" w:lineRule="auto"/>
              <w:jc w:val="center"/>
              <w:rPr>
                <w:rFonts w:ascii="Times New Roman" w:eastAsia="Calibri" w:hAnsi="Times New Roman" w:cs="Times New Roman"/>
                <w:sz w:val="24"/>
                <w:szCs w:val="24"/>
                <w:lang w:eastAsia="ru-RU"/>
              </w:rPr>
            </w:pPr>
            <w:r w:rsidRPr="00A66A68">
              <w:rPr>
                <w:rFonts w:ascii="Times New Roman" w:eastAsia="Calibri" w:hAnsi="Times New Roman" w:cs="Times New Roman"/>
                <w:sz w:val="24"/>
                <w:szCs w:val="24"/>
                <w:lang w:eastAsia="ru-RU"/>
              </w:rPr>
              <w:t>Природний газ</w:t>
            </w:r>
          </w:p>
        </w:tc>
        <w:tc>
          <w:tcPr>
            <w:tcW w:w="1631" w:type="pct"/>
            <w:tcBorders>
              <w:top w:val="single" w:sz="4" w:space="0" w:color="auto"/>
              <w:left w:val="single" w:sz="4" w:space="0" w:color="auto"/>
              <w:bottom w:val="single" w:sz="4" w:space="0" w:color="auto"/>
              <w:right w:val="single" w:sz="4" w:space="0" w:color="auto"/>
            </w:tcBorders>
            <w:shd w:val="clear" w:color="auto" w:fill="auto"/>
          </w:tcPr>
          <w:p w:rsidR="004A122C" w:rsidRPr="00A66A68" w:rsidRDefault="004A122C" w:rsidP="00150CFF">
            <w:pPr>
              <w:spacing w:after="0" w:line="240" w:lineRule="auto"/>
              <w:jc w:val="center"/>
              <w:rPr>
                <w:rFonts w:ascii="Times New Roman" w:eastAsia="Calibri" w:hAnsi="Times New Roman" w:cs="Times New Roman"/>
                <w:sz w:val="24"/>
                <w:szCs w:val="24"/>
                <w:lang w:eastAsia="ru-RU"/>
              </w:rPr>
            </w:pPr>
          </w:p>
          <w:p w:rsidR="004A122C" w:rsidRPr="00A66A68" w:rsidRDefault="004A122C" w:rsidP="00150CFF">
            <w:pPr>
              <w:spacing w:after="0" w:line="240" w:lineRule="auto"/>
              <w:jc w:val="center"/>
              <w:rPr>
                <w:rFonts w:ascii="Times New Roman" w:eastAsia="Calibri" w:hAnsi="Times New Roman" w:cs="Times New Roman"/>
                <w:sz w:val="24"/>
                <w:szCs w:val="24"/>
                <w:lang w:eastAsia="ru-RU"/>
              </w:rPr>
            </w:pPr>
            <w:r w:rsidRPr="00A66A68">
              <w:rPr>
                <w:rFonts w:ascii="Times New Roman" w:eastAsia="Calibri" w:hAnsi="Times New Roman" w:cs="Times New Roman"/>
                <w:sz w:val="24"/>
                <w:szCs w:val="24"/>
                <w:lang w:eastAsia="ru-RU"/>
              </w:rPr>
              <w:t>м. куб.</w:t>
            </w:r>
          </w:p>
        </w:tc>
        <w:tc>
          <w:tcPr>
            <w:tcW w:w="1452" w:type="pct"/>
            <w:tcBorders>
              <w:top w:val="single" w:sz="4" w:space="0" w:color="auto"/>
              <w:left w:val="single" w:sz="4" w:space="0" w:color="auto"/>
              <w:bottom w:val="single" w:sz="4" w:space="0" w:color="auto"/>
              <w:right w:val="single" w:sz="4" w:space="0" w:color="auto"/>
            </w:tcBorders>
            <w:shd w:val="clear" w:color="auto" w:fill="auto"/>
          </w:tcPr>
          <w:p w:rsidR="004A122C" w:rsidRPr="00A66A68" w:rsidRDefault="004A122C" w:rsidP="00150CFF">
            <w:pPr>
              <w:spacing w:after="0" w:line="240" w:lineRule="auto"/>
              <w:jc w:val="center"/>
              <w:rPr>
                <w:rFonts w:ascii="Times New Roman" w:eastAsia="Calibri" w:hAnsi="Times New Roman" w:cs="Times New Roman"/>
                <w:sz w:val="24"/>
                <w:szCs w:val="24"/>
                <w:lang w:eastAsia="ru-RU"/>
              </w:rPr>
            </w:pPr>
          </w:p>
          <w:p w:rsidR="004A122C" w:rsidRPr="00A66A68" w:rsidRDefault="00CA71E7" w:rsidP="00150CFF">
            <w:pPr>
              <w:spacing w:after="0" w:line="240" w:lineRule="auto"/>
              <w:jc w:val="center"/>
              <w:rPr>
                <w:rFonts w:ascii="Times New Roman" w:eastAsia="Calibri" w:hAnsi="Times New Roman" w:cs="Times New Roman"/>
                <w:sz w:val="24"/>
                <w:szCs w:val="24"/>
                <w:lang w:eastAsia="ru-RU"/>
              </w:rPr>
            </w:pPr>
            <w:r>
              <w:rPr>
                <w:rFonts w:ascii="Times New Roman" w:hAnsi="Times New Roman" w:cs="Times New Roman"/>
                <w:color w:val="222222"/>
                <w:sz w:val="24"/>
                <w:szCs w:val="24"/>
                <w:shd w:val="clear" w:color="auto" w:fill="FFFFFF"/>
              </w:rPr>
              <w:t>3 200</w:t>
            </w:r>
            <w:bookmarkStart w:id="0" w:name="_GoBack"/>
            <w:bookmarkEnd w:id="0"/>
          </w:p>
        </w:tc>
      </w:tr>
    </w:tbl>
    <w:p w:rsidR="004A122C" w:rsidRPr="000F5D4F" w:rsidRDefault="004A122C" w:rsidP="004A122C">
      <w:pPr>
        <w:spacing w:after="0" w:line="240" w:lineRule="auto"/>
        <w:jc w:val="both"/>
        <w:rPr>
          <w:rFonts w:ascii="Times New Roman" w:eastAsia="Times New Roman" w:hAnsi="Times New Roman" w:cs="Times New Roman"/>
          <w:bCs/>
          <w:sz w:val="24"/>
          <w:szCs w:val="24"/>
          <w:lang w:eastAsia="ru-RU"/>
        </w:rPr>
      </w:pPr>
    </w:p>
    <w:p w:rsidR="004A122C" w:rsidRPr="000F5D4F" w:rsidRDefault="004A122C" w:rsidP="004A122C">
      <w:pPr>
        <w:shd w:val="clear" w:color="auto" w:fill="FFFFFF"/>
        <w:spacing w:after="0" w:line="240" w:lineRule="auto"/>
        <w:jc w:val="both"/>
        <w:textAlignment w:val="baseline"/>
        <w:rPr>
          <w:rFonts w:ascii="Times New Roman" w:hAnsi="Times New Roman" w:cs="Times New Roman"/>
          <w:b/>
          <w:bCs/>
          <w:sz w:val="24"/>
          <w:szCs w:val="24"/>
        </w:rPr>
      </w:pPr>
    </w:p>
    <w:p w:rsidR="004A122C" w:rsidRPr="000F5D4F" w:rsidRDefault="004A122C" w:rsidP="004A122C">
      <w:pPr>
        <w:spacing w:after="0" w:line="240" w:lineRule="auto"/>
        <w:contextualSpacing/>
        <w:jc w:val="center"/>
        <w:rPr>
          <w:rFonts w:ascii="Times New Roman" w:hAnsi="Times New Roman" w:cs="Times New Roman"/>
          <w:b/>
          <w:bCs/>
          <w:sz w:val="24"/>
          <w:szCs w:val="24"/>
        </w:rPr>
      </w:pPr>
      <w:r w:rsidRPr="000F5D4F">
        <w:rPr>
          <w:rFonts w:ascii="Times New Roman" w:hAnsi="Times New Roman" w:cs="Times New Roman"/>
          <w:b/>
          <w:bCs/>
          <w:sz w:val="24"/>
          <w:szCs w:val="24"/>
        </w:rPr>
        <w:t>Загальні вимоги:</w:t>
      </w:r>
    </w:p>
    <w:p w:rsidR="004A122C" w:rsidRPr="000F5D4F" w:rsidRDefault="004A122C" w:rsidP="004A122C">
      <w:pPr>
        <w:spacing w:after="0" w:line="240" w:lineRule="auto"/>
        <w:ind w:firstLine="709"/>
        <w:jc w:val="both"/>
        <w:rPr>
          <w:rFonts w:ascii="Times New Roman" w:eastAsia="Calibri" w:hAnsi="Times New Roman" w:cs="Times New Roman"/>
          <w:sz w:val="24"/>
          <w:szCs w:val="24"/>
          <w:lang w:eastAsia="ru-RU"/>
        </w:rPr>
      </w:pPr>
      <w:r w:rsidRPr="000F5D4F">
        <w:rPr>
          <w:rFonts w:ascii="Times New Roman" w:eastAsia="Calibri" w:hAnsi="Times New Roman" w:cs="Times New Roman"/>
          <w:sz w:val="24"/>
          <w:szCs w:val="24"/>
          <w:lang w:eastAsia="ru-RU"/>
        </w:rPr>
        <w:t>1. Постачальник природного газу (далі - постачальник) - суб’єкт господарювання, який на підставі ліцензії здійснює діяльність із постачання природного газу.</w:t>
      </w:r>
    </w:p>
    <w:p w:rsidR="004A122C" w:rsidRPr="000F5D4F" w:rsidRDefault="004A122C" w:rsidP="004A122C">
      <w:pPr>
        <w:spacing w:after="0" w:line="240" w:lineRule="auto"/>
        <w:ind w:firstLine="709"/>
        <w:jc w:val="both"/>
        <w:rPr>
          <w:rFonts w:ascii="Times New Roman" w:eastAsia="Calibri" w:hAnsi="Times New Roman" w:cs="Times New Roman"/>
          <w:sz w:val="24"/>
          <w:szCs w:val="24"/>
          <w:lang w:eastAsia="ru-RU"/>
        </w:rPr>
      </w:pPr>
      <w:r w:rsidRPr="000F5D4F">
        <w:rPr>
          <w:rFonts w:ascii="Times New Roman" w:eastAsia="Calibri" w:hAnsi="Times New Roman" w:cs="Times New Roman"/>
          <w:sz w:val="24"/>
          <w:szCs w:val="24"/>
          <w:lang w:eastAsia="ru-RU"/>
        </w:rPr>
        <w:t>2. Постачання природного газу - господарська діяльність, що підлягає ліцензуванню і полягає в реалізації природного газу безпосередньо споживачам на підставі укладених з ними договорів.</w:t>
      </w:r>
    </w:p>
    <w:p w:rsidR="004A122C" w:rsidRPr="000F5D4F" w:rsidRDefault="004A122C" w:rsidP="004A122C">
      <w:pPr>
        <w:spacing w:after="0" w:line="240" w:lineRule="auto"/>
        <w:ind w:firstLine="709"/>
        <w:jc w:val="both"/>
        <w:rPr>
          <w:rFonts w:ascii="Times New Roman" w:eastAsia="Calibri" w:hAnsi="Times New Roman" w:cs="Times New Roman"/>
          <w:sz w:val="24"/>
          <w:szCs w:val="24"/>
          <w:lang w:eastAsia="ru-RU"/>
        </w:rPr>
      </w:pPr>
      <w:r w:rsidRPr="000F5D4F">
        <w:rPr>
          <w:rFonts w:ascii="Times New Roman" w:eastAsia="Calibri" w:hAnsi="Times New Roman" w:cs="Times New Roman"/>
          <w:sz w:val="24"/>
          <w:szCs w:val="24"/>
          <w:lang w:eastAsia="ru-RU"/>
        </w:rPr>
        <w:t xml:space="preserve">3. Учасники </w:t>
      </w:r>
      <w:r w:rsidRPr="000F5D4F">
        <w:rPr>
          <w:rFonts w:ascii="Times New Roman" w:eastAsia="Calibri" w:hAnsi="Times New Roman" w:cs="Times New Roman"/>
          <w:b/>
          <w:bCs/>
          <w:sz w:val="24"/>
          <w:szCs w:val="24"/>
          <w:lang w:eastAsia="ru-RU"/>
        </w:rPr>
        <w:t>у складі пропозиції надають</w:t>
      </w:r>
      <w:r w:rsidRPr="000F5D4F">
        <w:rPr>
          <w:rFonts w:ascii="Times New Roman" w:eastAsia="Calibri" w:hAnsi="Times New Roman" w:cs="Times New Roman"/>
          <w:sz w:val="24"/>
          <w:szCs w:val="24"/>
          <w:lang w:eastAsia="ru-RU"/>
        </w:rPr>
        <w:t xml:space="preserve"> ліцензію чи витяг з реєстру ліцензіатів на здійснення відповідної діяльності або довідку у довільній формі про отримання учасником ліцензії на постачання природного газу із зазначенням реквізитів відповідної Постанови НКРЕКП (на бланку учасника (за наявності), завірена власноручним підписом керівника або уповноваженої особи учасника та скріплена печаткою (за наявності) чи інший документ, що свідчить про наявність в учасника такої ліцензії.</w:t>
      </w:r>
    </w:p>
    <w:p w:rsidR="004A122C" w:rsidRDefault="004A122C" w:rsidP="004A122C">
      <w:pPr>
        <w:spacing w:after="0" w:line="240" w:lineRule="auto"/>
        <w:ind w:firstLine="709"/>
        <w:jc w:val="both"/>
        <w:rPr>
          <w:rFonts w:ascii="Times New Roman" w:eastAsia="Calibri" w:hAnsi="Times New Roman" w:cs="Times New Roman"/>
          <w:sz w:val="24"/>
          <w:szCs w:val="24"/>
          <w:lang w:eastAsia="ru-RU"/>
        </w:rPr>
      </w:pPr>
      <w:r w:rsidRPr="000F5D4F">
        <w:rPr>
          <w:rFonts w:ascii="Times New Roman" w:eastAsia="Calibri" w:hAnsi="Times New Roman" w:cs="Times New Roman"/>
          <w:sz w:val="24"/>
          <w:szCs w:val="24"/>
          <w:lang w:eastAsia="ru-RU"/>
        </w:rPr>
        <w:t>4. Ціна на предмет даної закупівлі обов'язково повинна включати вартість послуг, пов’язаних з транспортуванням газу до точки входу в газорозподільну систему, до якої підключено об’єкти Замовника, а саме витрати на оплату послуги замовленої потужності, що здійснюється постачальником газу на підставі Договору транспортування природного газу з Оператором ГТС, відповідно до норм Кодексу ГТС за тарифами, що визначені НКРЕКП.</w:t>
      </w:r>
    </w:p>
    <w:p w:rsidR="004A122C" w:rsidRPr="0090143B" w:rsidRDefault="004A122C" w:rsidP="004A122C">
      <w:pPr>
        <w:spacing w:after="0" w:line="240" w:lineRule="auto"/>
        <w:ind w:firstLine="708"/>
        <w:jc w:val="both"/>
        <w:rPr>
          <w:rFonts w:ascii="Times New Roman" w:eastAsia="Times New Roman" w:hAnsi="Times New Roman" w:cs="Times New Roman"/>
          <w:sz w:val="24"/>
          <w:szCs w:val="24"/>
          <w:lang w:eastAsia="uk-UA"/>
        </w:rPr>
      </w:pPr>
      <w:r>
        <w:rPr>
          <w:rFonts w:ascii="Times New Roman" w:eastAsia="Calibri" w:hAnsi="Times New Roman" w:cs="Times New Roman"/>
          <w:sz w:val="24"/>
          <w:szCs w:val="24"/>
          <w:lang w:eastAsia="ru-RU"/>
        </w:rPr>
        <w:t xml:space="preserve">5. </w:t>
      </w:r>
      <w:r w:rsidRPr="0090143B">
        <w:rPr>
          <w:rFonts w:ascii="Times New Roman" w:eastAsia="Times New Roman" w:hAnsi="Times New Roman" w:cs="Times New Roman"/>
          <w:color w:val="000000"/>
          <w:sz w:val="24"/>
          <w:szCs w:val="24"/>
          <w:lang w:eastAsia="uk-UA"/>
        </w:rPr>
        <w:t>Товар запропонований учасником повинен відповідати вимогам ДСТУ 5542-87 (ГОСТ 5542-87)</w:t>
      </w:r>
      <w:r>
        <w:rPr>
          <w:rFonts w:ascii="Times New Roman" w:eastAsia="Times New Roman" w:hAnsi="Times New Roman" w:cs="Times New Roman"/>
          <w:color w:val="000000"/>
          <w:sz w:val="24"/>
          <w:szCs w:val="24"/>
          <w:lang w:eastAsia="uk-UA"/>
        </w:rPr>
        <w:t>.</w:t>
      </w:r>
    </w:p>
    <w:p w:rsidR="004A122C" w:rsidRPr="0090143B" w:rsidRDefault="004A122C" w:rsidP="004A122C">
      <w:pPr>
        <w:spacing w:after="0" w:line="240" w:lineRule="auto"/>
        <w:jc w:val="both"/>
        <w:rPr>
          <w:rFonts w:ascii="Times New Roman" w:eastAsia="Times New Roman" w:hAnsi="Times New Roman" w:cs="Times New Roman"/>
          <w:sz w:val="24"/>
          <w:szCs w:val="24"/>
          <w:lang w:eastAsia="uk-UA"/>
        </w:rPr>
      </w:pPr>
      <w:r w:rsidRPr="0090143B">
        <w:rPr>
          <w:rFonts w:ascii="Times New Roman" w:eastAsia="Times New Roman" w:hAnsi="Times New Roman" w:cs="Times New Roman"/>
          <w:color w:val="000000"/>
          <w:sz w:val="24"/>
          <w:szCs w:val="24"/>
          <w:lang w:eastAsia="uk-UA"/>
        </w:rPr>
        <w:t>Також фізико-хімічні показники природного газу повинні відповідати вимогам, визначеним розділом ІІІ Кодексу газорозподільних систем та Кодексу газотранспортної системи.</w:t>
      </w:r>
    </w:p>
    <w:p w:rsidR="004A122C" w:rsidRPr="0090143B" w:rsidRDefault="004A122C" w:rsidP="004A122C">
      <w:pPr>
        <w:spacing w:after="0" w:line="240" w:lineRule="auto"/>
        <w:rPr>
          <w:rFonts w:ascii="Times New Roman" w:eastAsia="Times New Roman" w:hAnsi="Times New Roman" w:cs="Times New Roman"/>
          <w:sz w:val="24"/>
          <w:szCs w:val="24"/>
          <w:lang w:eastAsia="uk-UA"/>
        </w:rPr>
      </w:pPr>
      <w:r w:rsidRPr="0090143B">
        <w:rPr>
          <w:rFonts w:ascii="Times New Roman" w:eastAsia="Times New Roman" w:hAnsi="Times New Roman" w:cs="Times New Roman"/>
          <w:color w:val="000000"/>
          <w:sz w:val="24"/>
          <w:szCs w:val="24"/>
          <w:lang w:eastAsia="uk-UA"/>
        </w:rPr>
        <w:t>Умови постачання товару Замовнику повинні відповідати наступним нормативно-правовим актам:</w:t>
      </w:r>
    </w:p>
    <w:p w:rsidR="004A122C" w:rsidRPr="0090143B" w:rsidRDefault="004A122C" w:rsidP="004A122C">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uk-UA"/>
        </w:rPr>
      </w:pPr>
      <w:r w:rsidRPr="0090143B">
        <w:rPr>
          <w:rFonts w:ascii="Times New Roman" w:eastAsia="Times New Roman" w:hAnsi="Times New Roman" w:cs="Times New Roman"/>
          <w:color w:val="000000"/>
          <w:sz w:val="24"/>
          <w:szCs w:val="24"/>
          <w:lang w:eastAsia="uk-UA"/>
        </w:rPr>
        <w:t>Закону України «Про ринок природного газу»;</w:t>
      </w:r>
    </w:p>
    <w:p w:rsidR="004A122C" w:rsidRPr="0090143B" w:rsidRDefault="004A122C" w:rsidP="004A122C">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uk-UA"/>
        </w:rPr>
      </w:pPr>
      <w:r w:rsidRPr="0090143B">
        <w:rPr>
          <w:rFonts w:ascii="Times New Roman" w:eastAsia="Times New Roman" w:hAnsi="Times New Roman" w:cs="Times New Roman"/>
          <w:color w:val="000000"/>
          <w:sz w:val="24"/>
          <w:szCs w:val="24"/>
          <w:lang w:eastAsia="uk-UA"/>
        </w:rPr>
        <w:t>Правила постачання природного газу, затвердженим постановою НКРЕКП від 30.09.2015 № 2496 (зі змінами);</w:t>
      </w:r>
    </w:p>
    <w:p w:rsidR="004A122C" w:rsidRPr="0090143B" w:rsidRDefault="004A122C" w:rsidP="004A122C">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uk-UA"/>
        </w:rPr>
      </w:pPr>
      <w:r w:rsidRPr="0090143B">
        <w:rPr>
          <w:rFonts w:ascii="Times New Roman" w:eastAsia="Times New Roman" w:hAnsi="Times New Roman" w:cs="Times New Roman"/>
          <w:color w:val="000000"/>
          <w:sz w:val="24"/>
          <w:szCs w:val="24"/>
          <w:lang w:eastAsia="uk-UA"/>
        </w:rPr>
        <w:t>Кодексу газорозподільних систем, затвердженим Постановою НКРЕКП від 30.09.2015 № 2494 (зі змінами);</w:t>
      </w:r>
    </w:p>
    <w:p w:rsidR="004A122C" w:rsidRPr="0090143B" w:rsidRDefault="004A122C" w:rsidP="004A122C">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uk-UA"/>
        </w:rPr>
      </w:pPr>
      <w:r w:rsidRPr="0090143B">
        <w:rPr>
          <w:rFonts w:ascii="Times New Roman" w:eastAsia="Times New Roman" w:hAnsi="Times New Roman" w:cs="Times New Roman"/>
          <w:color w:val="000000"/>
          <w:sz w:val="24"/>
          <w:szCs w:val="24"/>
          <w:lang w:eastAsia="uk-UA"/>
        </w:rPr>
        <w:t>Кодексу газотранспортної системи, затвердженим Постановою НКРЕКП від 30.09.2015 № 2493 (зі змінами);</w:t>
      </w:r>
    </w:p>
    <w:p w:rsidR="004A122C" w:rsidRDefault="004A122C" w:rsidP="004A122C">
      <w:pPr>
        <w:numPr>
          <w:ilvl w:val="0"/>
          <w:numId w:val="1"/>
        </w:numPr>
        <w:spacing w:after="200" w:line="240" w:lineRule="auto"/>
        <w:jc w:val="both"/>
        <w:textAlignment w:val="baseline"/>
        <w:rPr>
          <w:rFonts w:ascii="Times New Roman" w:eastAsia="Times New Roman" w:hAnsi="Times New Roman" w:cs="Times New Roman"/>
          <w:color w:val="000000"/>
          <w:sz w:val="24"/>
          <w:szCs w:val="24"/>
          <w:lang w:eastAsia="uk-UA"/>
        </w:rPr>
      </w:pPr>
      <w:r w:rsidRPr="0090143B">
        <w:rPr>
          <w:rFonts w:ascii="Times New Roman" w:eastAsia="Times New Roman" w:hAnsi="Times New Roman" w:cs="Times New Roman"/>
          <w:color w:val="000000"/>
          <w:sz w:val="24"/>
          <w:szCs w:val="24"/>
          <w:lang w:eastAsia="uk-UA"/>
        </w:rPr>
        <w:t>іншим чинним нормативно-правовим актам, прийнятим на виконання Закону України «Про ринок природного газу».</w:t>
      </w:r>
    </w:p>
    <w:p w:rsidR="004A122C" w:rsidRPr="00A901D6" w:rsidRDefault="004A122C" w:rsidP="004A122C">
      <w:pPr>
        <w:pStyle w:val="a3"/>
        <w:numPr>
          <w:ilvl w:val="0"/>
          <w:numId w:val="1"/>
        </w:numPr>
        <w:spacing w:after="0" w:line="240" w:lineRule="auto"/>
        <w:jc w:val="both"/>
        <w:rPr>
          <w:rFonts w:ascii="Times New Roman" w:eastAsia="Calibri" w:hAnsi="Times New Roman" w:cs="Times New Roman"/>
          <w:sz w:val="24"/>
          <w:szCs w:val="24"/>
          <w:lang w:eastAsia="ru-RU"/>
        </w:rPr>
      </w:pPr>
      <w:r w:rsidRPr="00A901D6">
        <w:rPr>
          <w:rFonts w:ascii="Times New Roman" w:eastAsia="Calibri" w:hAnsi="Times New Roman" w:cs="Times New Roman"/>
          <w:b/>
          <w:bCs/>
          <w:sz w:val="24"/>
          <w:szCs w:val="24"/>
          <w:lang w:eastAsia="ru-RU"/>
        </w:rPr>
        <w:t>ВАЖЛИВО!</w:t>
      </w:r>
      <w:r w:rsidRPr="00A901D6">
        <w:rPr>
          <w:rFonts w:ascii="Times New Roman" w:eastAsia="Calibri" w:hAnsi="Times New Roman" w:cs="Times New Roman"/>
          <w:sz w:val="24"/>
          <w:szCs w:val="24"/>
          <w:lang w:eastAsia="ru-RU"/>
        </w:rPr>
        <w:t xml:space="preserve"> </w:t>
      </w:r>
      <w:r w:rsidRPr="00A901D6">
        <w:rPr>
          <w:rFonts w:ascii="Times New Roman" w:eastAsia="Calibri" w:hAnsi="Times New Roman" w:cs="Times New Roman"/>
          <w:b/>
          <w:bCs/>
          <w:sz w:val="24"/>
          <w:szCs w:val="24"/>
          <w:lang w:eastAsia="ru-RU"/>
        </w:rPr>
        <w:t xml:space="preserve">Протягом дії договору , тобто до </w:t>
      </w:r>
      <w:r>
        <w:rPr>
          <w:rFonts w:ascii="Times New Roman" w:eastAsia="Calibri" w:hAnsi="Times New Roman" w:cs="Times New Roman"/>
          <w:b/>
          <w:bCs/>
          <w:sz w:val="24"/>
          <w:szCs w:val="24"/>
          <w:lang w:eastAsia="ru-RU"/>
        </w:rPr>
        <w:t>31</w:t>
      </w:r>
      <w:r w:rsidRPr="00A901D6">
        <w:rPr>
          <w:rFonts w:ascii="Times New Roman" w:eastAsia="Calibri" w:hAnsi="Times New Roman" w:cs="Times New Roman"/>
          <w:b/>
          <w:bCs/>
          <w:sz w:val="24"/>
          <w:szCs w:val="24"/>
          <w:lang w:eastAsia="ru-RU"/>
        </w:rPr>
        <w:t>.0</w:t>
      </w:r>
      <w:r>
        <w:rPr>
          <w:rFonts w:ascii="Times New Roman" w:eastAsia="Calibri" w:hAnsi="Times New Roman" w:cs="Times New Roman"/>
          <w:b/>
          <w:bCs/>
          <w:sz w:val="24"/>
          <w:szCs w:val="24"/>
          <w:lang w:eastAsia="ru-RU"/>
        </w:rPr>
        <w:t>8</w:t>
      </w:r>
      <w:r w:rsidRPr="00A901D6">
        <w:rPr>
          <w:rFonts w:ascii="Times New Roman" w:eastAsia="Calibri" w:hAnsi="Times New Roman" w:cs="Times New Roman"/>
          <w:b/>
          <w:bCs/>
          <w:sz w:val="24"/>
          <w:szCs w:val="24"/>
          <w:lang w:eastAsia="ru-RU"/>
        </w:rPr>
        <w:t>.2024 року не допускається підняття ціни за одиницю товару. Встановлена та запропонована учасниками у складі пропозиції Цінова пропозиція є остаточна та кінцева, у яку не допускається внесення змін незалежно від коливання ціни на ринку, крім випадку зменшення ціни.</w:t>
      </w:r>
    </w:p>
    <w:p w:rsidR="004A122C" w:rsidRPr="000F5D4F" w:rsidRDefault="004A122C" w:rsidP="004A122C">
      <w:pPr>
        <w:spacing w:after="0" w:line="240" w:lineRule="auto"/>
        <w:contextualSpacing/>
        <w:jc w:val="center"/>
        <w:rPr>
          <w:rFonts w:ascii="Times New Roman" w:hAnsi="Times New Roman" w:cs="Times New Roman"/>
          <w:b/>
          <w:bCs/>
          <w:sz w:val="24"/>
          <w:szCs w:val="24"/>
        </w:rPr>
      </w:pPr>
    </w:p>
    <w:p w:rsidR="004A122C" w:rsidRPr="00FD5BD9" w:rsidRDefault="004A122C" w:rsidP="004A122C">
      <w:pPr>
        <w:spacing w:after="0" w:line="240" w:lineRule="auto"/>
        <w:contextualSpacing/>
        <w:jc w:val="center"/>
        <w:rPr>
          <w:rFonts w:ascii="Times New Roman" w:eastAsia="Times New Roman" w:hAnsi="Times New Roman" w:cs="Times New Roman"/>
          <w:bCs/>
          <w:i/>
          <w:sz w:val="24"/>
          <w:szCs w:val="24"/>
        </w:rPr>
      </w:pPr>
      <w:r w:rsidRPr="000F5D4F">
        <w:rPr>
          <w:rFonts w:ascii="Times New Roman" w:eastAsia="Times New Roman" w:hAnsi="Times New Roman" w:cs="Times New Roman"/>
          <w:bCs/>
          <w:i/>
          <w:sz w:val="24"/>
          <w:szCs w:val="24"/>
        </w:rPr>
        <w:t>Якщо в технічній специфікації міститься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то слід розуміти у значені «або еквівалент».</w:t>
      </w:r>
    </w:p>
    <w:p w:rsidR="004A122C" w:rsidRPr="00402E7A" w:rsidRDefault="004A122C" w:rsidP="004A122C">
      <w:pPr>
        <w:spacing w:after="0" w:line="240" w:lineRule="auto"/>
        <w:contextualSpacing/>
        <w:rPr>
          <w:rFonts w:ascii="Times New Roman" w:hAnsi="Times New Roman" w:cs="Times New Roman"/>
          <w:b/>
          <w:bCs/>
          <w:sz w:val="24"/>
          <w:szCs w:val="24"/>
        </w:rPr>
      </w:pPr>
    </w:p>
    <w:p w:rsidR="00D335D8" w:rsidRDefault="00D335D8"/>
    <w:sectPr w:rsidR="00D335D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82450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2A1"/>
    <w:rsid w:val="004A122C"/>
    <w:rsid w:val="00CA71E7"/>
    <w:rsid w:val="00D335D8"/>
    <w:rsid w:val="00D672A1"/>
    <w:rsid w:val="00E509C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B6DEC"/>
  <w15:chartTrackingRefBased/>
  <w15:docId w15:val="{804C2728-70A5-4325-8B76-9DC48A68D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122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12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1783</Words>
  <Characters>1017</Characters>
  <Application>Microsoft Office Word</Application>
  <DocSecurity>0</DocSecurity>
  <Lines>8</Lines>
  <Paragraphs>5</Paragraphs>
  <ScaleCrop>false</ScaleCrop>
  <Company/>
  <LinksUpToDate>false</LinksUpToDate>
  <CharactersWithSpaces>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2024-04-16T07:08:00Z</dcterms:created>
  <dcterms:modified xsi:type="dcterms:W3CDTF">2024-04-19T08:10:00Z</dcterms:modified>
</cp:coreProperties>
</file>