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F32123" w:rsidP="00DD03E6">
            <w:pPr>
              <w:jc w:val="both"/>
            </w:pPr>
            <w:r>
              <w:t>1</w:t>
            </w:r>
            <w:r w:rsidR="00F265B8">
              <w:t>3</w:t>
            </w:r>
            <w:r w:rsidR="00DD03E6">
              <w:t>3</w:t>
            </w:r>
            <w:r w:rsidR="00400092">
              <w:t>/</w:t>
            </w:r>
            <w:r w:rsidR="003B215A">
              <w:t>2</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3B215A" w:rsidP="00400092">
            <w:pPr>
              <w:tabs>
                <w:tab w:val="left" w:pos="825"/>
              </w:tabs>
              <w:ind w:firstLine="29"/>
              <w:jc w:val="both"/>
            </w:pPr>
            <w:r>
              <w:t>16</w:t>
            </w:r>
            <w:r w:rsidR="00F32123">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DA4ADE" w:rsidRPr="00DA4ADE" w:rsidRDefault="00B25AD7" w:rsidP="00DA4ADE">
      <w:pPr>
        <w:tabs>
          <w:tab w:val="left" w:pos="284"/>
        </w:tabs>
        <w:jc w:val="center"/>
        <w:rPr>
          <w:i/>
          <w:iCs/>
          <w:sz w:val="32"/>
          <w:szCs w:val="32"/>
        </w:rPr>
      </w:pPr>
      <w:r w:rsidRPr="00020E90">
        <w:rPr>
          <w:i/>
          <w:iCs/>
          <w:sz w:val="32"/>
          <w:szCs w:val="32"/>
        </w:rPr>
        <w:t xml:space="preserve">на закупівлю  </w:t>
      </w:r>
      <w:r w:rsidR="00DD03E6">
        <w:rPr>
          <w:i/>
          <w:iCs/>
          <w:sz w:val="32"/>
          <w:szCs w:val="32"/>
        </w:rPr>
        <w:t>г</w:t>
      </w:r>
      <w:r w:rsidR="00DD03E6" w:rsidRPr="00DD03E6">
        <w:rPr>
          <w:i/>
          <w:iCs/>
          <w:sz w:val="32"/>
          <w:szCs w:val="32"/>
        </w:rPr>
        <w:t>азов</w:t>
      </w:r>
      <w:r w:rsidR="006413ED">
        <w:rPr>
          <w:i/>
          <w:iCs/>
          <w:sz w:val="32"/>
          <w:szCs w:val="32"/>
        </w:rPr>
        <w:t>ого</w:t>
      </w:r>
      <w:r w:rsidR="00DD03E6" w:rsidRPr="00DD03E6">
        <w:rPr>
          <w:i/>
          <w:iCs/>
          <w:sz w:val="32"/>
          <w:szCs w:val="32"/>
        </w:rPr>
        <w:t xml:space="preserve"> хроматограф</w:t>
      </w:r>
      <w:r w:rsidR="006413ED">
        <w:rPr>
          <w:i/>
          <w:iCs/>
          <w:sz w:val="32"/>
          <w:szCs w:val="32"/>
        </w:rPr>
        <w:t>а</w:t>
      </w:r>
      <w:r w:rsidR="00DD03E6" w:rsidRPr="00DD03E6">
        <w:rPr>
          <w:i/>
          <w:iCs/>
          <w:sz w:val="32"/>
          <w:szCs w:val="32"/>
        </w:rPr>
        <w:t xml:space="preserve"> з додатковим обладнанням</w:t>
      </w:r>
      <w:r w:rsidR="00400092">
        <w:rPr>
          <w:i/>
          <w:iCs/>
          <w:sz w:val="32"/>
          <w:szCs w:val="32"/>
        </w:rPr>
        <w:t>,зміни</w:t>
      </w:r>
    </w:p>
    <w:p w:rsidR="00DA4ADE" w:rsidRPr="00FE3203" w:rsidRDefault="00DA4ADE" w:rsidP="00DA4ADE">
      <w:pPr>
        <w:jc w:val="center"/>
        <w:rPr>
          <w:rFonts w:ascii="Cambria" w:hAnsi="Cambria"/>
          <w:b/>
          <w:i/>
          <w:iCs/>
          <w:sz w:val="28"/>
          <w:szCs w:val="28"/>
        </w:rPr>
      </w:pPr>
    </w:p>
    <w:p w:rsidR="00DA4ADE" w:rsidRPr="00BF1344" w:rsidRDefault="00DA4ADE" w:rsidP="00DD03E6">
      <w:pPr>
        <w:spacing w:line="300" w:lineRule="atLeast"/>
        <w:jc w:val="center"/>
        <w:textAlignment w:val="baseline"/>
        <w:rPr>
          <w:i/>
          <w:iCs/>
          <w:sz w:val="32"/>
          <w:szCs w:val="32"/>
        </w:rPr>
      </w:pPr>
      <w:r w:rsidRPr="00DD03E6">
        <w:rPr>
          <w:i/>
          <w:iCs/>
          <w:sz w:val="32"/>
          <w:szCs w:val="32"/>
        </w:rPr>
        <w:t>(</w:t>
      </w:r>
      <w:r w:rsidRPr="00BF1344">
        <w:rPr>
          <w:i/>
          <w:iCs/>
          <w:sz w:val="32"/>
          <w:szCs w:val="32"/>
        </w:rPr>
        <w:t>код ДК 021:2015</w:t>
      </w:r>
      <w:r w:rsidR="00F32123" w:rsidRPr="00BF1344">
        <w:rPr>
          <w:i/>
          <w:iCs/>
          <w:sz w:val="32"/>
          <w:szCs w:val="32"/>
        </w:rPr>
        <w:t>-</w:t>
      </w:r>
      <w:r w:rsidR="00BF1344" w:rsidRPr="00BF1344">
        <w:rPr>
          <w:i/>
          <w:iCs/>
          <w:sz w:val="32"/>
          <w:szCs w:val="32"/>
        </w:rPr>
        <w:t xml:space="preserve"> </w:t>
      </w:r>
      <w:r w:rsidR="00DD03E6" w:rsidRPr="00DD03E6">
        <w:rPr>
          <w:i/>
          <w:iCs/>
          <w:sz w:val="32"/>
          <w:szCs w:val="32"/>
        </w:rPr>
        <w:br/>
        <w:t>38430000-8 - Детектори та аналізатори</w:t>
      </w:r>
      <w:r w:rsidR="00D6578D">
        <w:rPr>
          <w:i/>
          <w:iCs/>
          <w:sz w:val="32"/>
          <w:szCs w:val="32"/>
        </w:rPr>
        <w:t xml:space="preserve"> </w:t>
      </w:r>
      <w:r w:rsidR="00BF1344" w:rsidRPr="00BF1344">
        <w:rPr>
          <w:i/>
          <w:iCs/>
          <w:sz w:val="32"/>
          <w:szCs w:val="32"/>
        </w:rPr>
        <w:t> </w:t>
      </w:r>
      <w:r w:rsidRPr="00BF1344">
        <w:rPr>
          <w:i/>
          <w:iCs/>
          <w:sz w:val="32"/>
          <w:szCs w:val="32"/>
        </w:rPr>
        <w:t>)</w:t>
      </w:r>
    </w:p>
    <w:p w:rsidR="00B25AD7" w:rsidRPr="00C952F4" w:rsidRDefault="00B25AD7" w:rsidP="00DA4ADE">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14"/>
        <w:gridCol w:w="188"/>
        <w:gridCol w:w="2853"/>
        <w:gridCol w:w="5080"/>
        <w:gridCol w:w="11"/>
      </w:tblGrid>
      <w:tr w:rsidR="00B33E85" w:rsidRPr="00C941C6" w:rsidTr="000E201F">
        <w:trPr>
          <w:gridAfter w:val="1"/>
          <w:wAfter w:w="12" w:type="dxa"/>
        </w:trPr>
        <w:tc>
          <w:tcPr>
            <w:tcW w:w="9934"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0E201F">
        <w:trPr>
          <w:gridAfter w:val="1"/>
          <w:wAfter w:w="12" w:type="dxa"/>
        </w:trPr>
        <w:tc>
          <w:tcPr>
            <w:tcW w:w="1925"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8009"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0E201F">
        <w:trPr>
          <w:gridAfter w:val="1"/>
          <w:wAfter w:w="12" w:type="dxa"/>
        </w:trPr>
        <w:tc>
          <w:tcPr>
            <w:tcW w:w="1925"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8009"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66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343"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p>
        </w:tc>
        <w:tc>
          <w:tcPr>
            <w:tcW w:w="266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343"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8009"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8009" w:type="dxa"/>
            <w:gridSpan w:val="2"/>
            <w:vAlign w:val="center"/>
          </w:tcPr>
          <w:p w:rsidR="00DD03E6" w:rsidRPr="00DA4ADE" w:rsidRDefault="00DD03E6" w:rsidP="00DD03E6">
            <w:pPr>
              <w:tabs>
                <w:tab w:val="left" w:pos="284"/>
              </w:tabs>
              <w:jc w:val="center"/>
              <w:rPr>
                <w:i/>
                <w:iCs/>
                <w:sz w:val="32"/>
                <w:szCs w:val="32"/>
              </w:rPr>
            </w:pPr>
            <w:r>
              <w:rPr>
                <w:i/>
                <w:iCs/>
                <w:sz w:val="32"/>
                <w:szCs w:val="32"/>
              </w:rPr>
              <w:t>г</w:t>
            </w:r>
            <w:r w:rsidRPr="00DD03E6">
              <w:rPr>
                <w:i/>
                <w:iCs/>
                <w:sz w:val="32"/>
                <w:szCs w:val="32"/>
              </w:rPr>
              <w:t>азовий хроматограф з додатковим обладнанням</w:t>
            </w:r>
          </w:p>
          <w:p w:rsidR="00DD03E6" w:rsidRPr="00FE3203" w:rsidRDefault="00DD03E6" w:rsidP="00DD03E6">
            <w:pPr>
              <w:jc w:val="center"/>
              <w:rPr>
                <w:rFonts w:ascii="Cambria" w:hAnsi="Cambria"/>
                <w:b/>
                <w:i/>
                <w:iCs/>
                <w:sz w:val="28"/>
                <w:szCs w:val="28"/>
              </w:rPr>
            </w:pPr>
          </w:p>
          <w:p w:rsidR="00DD03E6" w:rsidRPr="00BF1344" w:rsidRDefault="00DD03E6" w:rsidP="00DD03E6">
            <w:pPr>
              <w:spacing w:line="300" w:lineRule="atLeast"/>
              <w:jc w:val="center"/>
              <w:textAlignment w:val="baseline"/>
              <w:rPr>
                <w:i/>
                <w:iCs/>
                <w:sz w:val="32"/>
                <w:szCs w:val="32"/>
              </w:rPr>
            </w:pPr>
            <w:r w:rsidRPr="00DD03E6">
              <w:rPr>
                <w:i/>
                <w:iCs/>
                <w:sz w:val="32"/>
                <w:szCs w:val="32"/>
              </w:rPr>
              <w:t>(</w:t>
            </w:r>
            <w:r w:rsidRPr="00BF1344">
              <w:rPr>
                <w:i/>
                <w:iCs/>
                <w:sz w:val="32"/>
                <w:szCs w:val="32"/>
              </w:rPr>
              <w:t xml:space="preserve">код ДК 021:2015- </w:t>
            </w:r>
            <w:r w:rsidRPr="00DD03E6">
              <w:rPr>
                <w:i/>
                <w:iCs/>
                <w:sz w:val="32"/>
                <w:szCs w:val="32"/>
              </w:rPr>
              <w:br/>
              <w:t>38430000-8 - Детектори та аналізатори</w:t>
            </w:r>
            <w:r>
              <w:rPr>
                <w:i/>
                <w:iCs/>
                <w:sz w:val="32"/>
                <w:szCs w:val="32"/>
              </w:rPr>
              <w:t xml:space="preserve"> </w:t>
            </w:r>
            <w:r w:rsidRPr="00BF1344">
              <w:rPr>
                <w:i/>
                <w:iCs/>
                <w:sz w:val="32"/>
                <w:szCs w:val="32"/>
              </w:rPr>
              <w:t> )</w:t>
            </w:r>
          </w:p>
          <w:p w:rsidR="00DD03E6" w:rsidRPr="00C952F4" w:rsidRDefault="00DD03E6" w:rsidP="00DD03E6">
            <w:pPr>
              <w:pStyle w:val="30"/>
              <w:tabs>
                <w:tab w:val="clear" w:pos="426"/>
              </w:tabs>
              <w:rPr>
                <w:i/>
                <w:iCs/>
                <w:sz w:val="32"/>
                <w:szCs w:val="32"/>
              </w:rPr>
            </w:pP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8009" w:type="dxa"/>
            <w:gridSpan w:val="2"/>
            <w:vAlign w:val="center"/>
          </w:tcPr>
          <w:p w:rsidR="00B25AD7" w:rsidRPr="005C1FDF" w:rsidRDefault="00BF1344" w:rsidP="00D96C22">
            <w:pPr>
              <w:jc w:val="both"/>
            </w:pPr>
            <w:r>
              <w:t>Подання пропозицій на частину обсягу закупівлі не передбачено</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lastRenderedPageBreak/>
              <w:t>кількість товарів</w:t>
            </w:r>
          </w:p>
        </w:tc>
        <w:tc>
          <w:tcPr>
            <w:tcW w:w="8009" w:type="dxa"/>
            <w:gridSpan w:val="2"/>
            <w:vAlign w:val="center"/>
          </w:tcPr>
          <w:p w:rsidR="00B25AD7" w:rsidRPr="005C1FDF" w:rsidRDefault="00DD03E6" w:rsidP="005415A7">
            <w:pPr>
              <w:pStyle w:val="a5"/>
              <w:tabs>
                <w:tab w:val="clear" w:pos="4677"/>
                <w:tab w:val="clear" w:pos="9355"/>
                <w:tab w:val="left" w:pos="1260"/>
                <w:tab w:val="left" w:pos="1980"/>
              </w:tabs>
              <w:rPr>
                <w:iCs/>
              </w:rPr>
            </w:pPr>
            <w:r>
              <w:rPr>
                <w:iCs/>
              </w:rPr>
              <w:t>1шт.</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8009"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t>строки поставки товарів</w:t>
            </w:r>
          </w:p>
        </w:tc>
        <w:tc>
          <w:tcPr>
            <w:tcW w:w="8009"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0E201F">
        <w:trPr>
          <w:gridAfter w:val="1"/>
          <w:wAfter w:w="12" w:type="dxa"/>
        </w:trPr>
        <w:tc>
          <w:tcPr>
            <w:tcW w:w="1925"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009" w:type="dxa"/>
            <w:gridSpan w:val="2"/>
            <w:vAlign w:val="center"/>
          </w:tcPr>
          <w:p w:rsidR="00DA4ADE" w:rsidRDefault="00DA4ADE" w:rsidP="00DA4ADE">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DD03E6" w:rsidRPr="00DD03E6" w:rsidRDefault="00DA4ADE" w:rsidP="00DD03E6">
            <w:pPr>
              <w:tabs>
                <w:tab w:val="left" w:pos="284"/>
              </w:tabs>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 xml:space="preserve">становить </w:t>
            </w:r>
            <w:r w:rsidR="00BF1344">
              <w:t>: розділ 7</w:t>
            </w:r>
            <w:r w:rsidR="00D80958">
              <w:t xml:space="preserve">, п. </w:t>
            </w:r>
            <w:r w:rsidR="00D96C22">
              <w:t>7.1.</w:t>
            </w:r>
            <w:r w:rsidR="00DD03E6">
              <w:t xml:space="preserve">9- </w:t>
            </w:r>
            <w:r w:rsidR="00DD03E6" w:rsidRPr="00DD03E6">
              <w:t xml:space="preserve"> газовий хроматограф з додатковим обладнанням</w:t>
            </w:r>
            <w:r w:rsidR="00DD03E6">
              <w:t>- 2018,26 тис.грн. без ПДВ/шт.</w:t>
            </w:r>
          </w:p>
          <w:p w:rsidR="0034064A" w:rsidRPr="005C1FDF" w:rsidRDefault="0034064A" w:rsidP="00DD03E6">
            <w:pPr>
              <w:pStyle w:val="a5"/>
              <w:tabs>
                <w:tab w:val="clear" w:pos="4677"/>
                <w:tab w:val="clear" w:pos="9355"/>
                <w:tab w:val="left" w:pos="1260"/>
                <w:tab w:val="left" w:pos="1980"/>
              </w:tabs>
              <w:jc w:val="both"/>
              <w:rPr>
                <w:b/>
              </w:rPr>
            </w:pPr>
          </w:p>
        </w:tc>
      </w:tr>
      <w:tr w:rsidR="00502DAC" w:rsidRPr="00C941C6" w:rsidTr="000E201F">
        <w:trPr>
          <w:gridAfter w:val="1"/>
          <w:wAfter w:w="12" w:type="dxa"/>
        </w:trPr>
        <w:tc>
          <w:tcPr>
            <w:tcW w:w="1925"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8009"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0E201F">
        <w:trPr>
          <w:gridAfter w:val="1"/>
          <w:wAfter w:w="12" w:type="dxa"/>
        </w:trPr>
        <w:tc>
          <w:tcPr>
            <w:tcW w:w="1925"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8009"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0E201F">
        <w:trPr>
          <w:gridAfter w:val="1"/>
          <w:wAfter w:w="12" w:type="dxa"/>
        </w:trPr>
        <w:tc>
          <w:tcPr>
            <w:tcW w:w="1925"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8009"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Pr>
                <w:color w:val="000000"/>
              </w:rPr>
              <w:lastRenderedPageBreak/>
              <w:t>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0E201F">
        <w:trPr>
          <w:gridAfter w:val="1"/>
          <w:wAfter w:w="12" w:type="dxa"/>
        </w:trPr>
        <w:tc>
          <w:tcPr>
            <w:tcW w:w="9934"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0E201F">
        <w:trPr>
          <w:gridAfter w:val="1"/>
          <w:wAfter w:w="12" w:type="dxa"/>
        </w:trPr>
        <w:tc>
          <w:tcPr>
            <w:tcW w:w="1925" w:type="dxa"/>
            <w:gridSpan w:val="2"/>
            <w:vAlign w:val="center"/>
          </w:tcPr>
          <w:p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8009"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0E201F">
        <w:trPr>
          <w:gridAfter w:val="1"/>
          <w:wAfter w:w="12" w:type="dxa"/>
        </w:trPr>
        <w:tc>
          <w:tcPr>
            <w:tcW w:w="1925" w:type="dxa"/>
            <w:gridSpan w:val="2"/>
            <w:vAlign w:val="center"/>
          </w:tcPr>
          <w:p w:rsidR="004F5432" w:rsidRPr="001378A5" w:rsidRDefault="004F5432" w:rsidP="004F5432">
            <w:pPr>
              <w:pStyle w:val="af2"/>
              <w:rPr>
                <w:lang w:val="uk-UA"/>
              </w:rPr>
            </w:pPr>
            <w:r w:rsidRPr="001378A5">
              <w:rPr>
                <w:lang w:val="uk-UA"/>
              </w:rPr>
              <w:t>2. Внесення змін до тендерної документації</w:t>
            </w:r>
          </w:p>
        </w:tc>
        <w:tc>
          <w:tcPr>
            <w:tcW w:w="8009"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8009"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lastRenderedPageBreak/>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w:t>
            </w:r>
            <w:r w:rsidRPr="00C941C6">
              <w:rPr>
                <w:rFonts w:ascii="Times New Roman" w:hAnsi="Times New Roman"/>
                <w:sz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w:t>
            </w:r>
            <w:r>
              <w:rPr>
                <w:color w:val="000000"/>
              </w:rPr>
              <w:lastRenderedPageBreak/>
              <w:t>документації.</w:t>
            </w:r>
          </w:p>
          <w:p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8009"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8009"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8009"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5. Строк дії тендерної пропозиції, протягом якого тендерні пропозиції вважаються дійсними</w:t>
            </w:r>
          </w:p>
        </w:tc>
        <w:tc>
          <w:tcPr>
            <w:tcW w:w="8009"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8009"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8009"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8009"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1A52EA">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 xml:space="preserve">Інформація про необхідні технічні, якісні та кількісні характеристики </w:t>
            </w:r>
            <w:r w:rsidRPr="00C941C6">
              <w:lastRenderedPageBreak/>
              <w:t>предмета закупівлі</w:t>
            </w:r>
          </w:p>
        </w:tc>
        <w:tc>
          <w:tcPr>
            <w:tcW w:w="8009" w:type="dxa"/>
            <w:gridSpan w:val="2"/>
            <w:vAlign w:val="center"/>
          </w:tcPr>
          <w:p w:rsidR="004F5432" w:rsidRPr="00C941C6" w:rsidRDefault="004F5432" w:rsidP="004F5432">
            <w:pPr>
              <w:jc w:val="both"/>
            </w:pPr>
            <w:r w:rsidRPr="00C941C6">
              <w:lastRenderedPageBreak/>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lastRenderedPageBreak/>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Pr="00EA0A78" w:rsidRDefault="004F5432" w:rsidP="00EA0A78">
            <w:pPr>
              <w:pStyle w:val="HTML"/>
              <w:tabs>
                <w:tab w:val="clear" w:pos="916"/>
                <w:tab w:val="clear" w:pos="1832"/>
                <w:tab w:val="num" w:pos="1352"/>
                <w:tab w:val="num" w:pos="2911"/>
              </w:tabs>
              <w:jc w:val="both"/>
              <w:rPr>
                <w:rFonts w:ascii="Times New Roman" w:hAnsi="Times New Roman"/>
                <w:sz w:val="24"/>
              </w:rPr>
            </w:pPr>
            <w:r w:rsidRPr="00EA0A78">
              <w:rPr>
                <w:rFonts w:ascii="Times New Roman" w:hAnsi="Times New Roman"/>
                <w:sz w:val="24"/>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941C6">
              <w:t>Так</w:t>
            </w:r>
            <w:r w:rsidRPr="00EA0A78">
              <w:rPr>
                <w:rFonts w:ascii="Times New Roman" w:hAnsi="Times New Roman"/>
                <w:sz w:val="24"/>
              </w:rPr>
              <w:t>им чином вважається, що до кожного посилання додається вираз «або еквівалент».</w:t>
            </w:r>
          </w:p>
          <w:p w:rsidR="00792A32" w:rsidRPr="00DD03E6" w:rsidRDefault="00DD03E6" w:rsidP="00DD03E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w:t>
            </w:r>
            <w:r>
              <w:rPr>
                <w:rFonts w:ascii="Times New Roman" w:hAnsi="Times New Roman"/>
                <w:sz w:val="24"/>
              </w:rPr>
              <w:t>ні параметри предмета закупівлі.</w:t>
            </w:r>
          </w:p>
          <w:p w:rsidR="00792A32" w:rsidRPr="00792A32" w:rsidRDefault="00792A32" w:rsidP="00792A32">
            <w:pPr>
              <w:jc w:val="both"/>
            </w:pPr>
          </w:p>
          <w:p w:rsidR="00EA0A78" w:rsidRPr="00FB4022" w:rsidRDefault="00EA0A78" w:rsidP="00EA0A78">
            <w:pPr>
              <w:rPr>
                <w:rFonts w:ascii="Arial" w:hAnsi="Arial" w:cs="Arial"/>
                <w:color w:val="000000"/>
                <w:sz w:val="22"/>
                <w:szCs w:val="22"/>
              </w:rPr>
            </w:pP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53A3D" w:rsidRPr="00C941C6" w:rsidTr="000E201F">
        <w:trPr>
          <w:gridAfter w:val="1"/>
          <w:wAfter w:w="12" w:type="dxa"/>
        </w:trPr>
        <w:tc>
          <w:tcPr>
            <w:tcW w:w="1925" w:type="dxa"/>
            <w:gridSpan w:val="2"/>
            <w:vAlign w:val="center"/>
          </w:tcPr>
          <w:p w:rsidR="00753A3D" w:rsidRPr="00FC2BD9" w:rsidRDefault="00753A3D" w:rsidP="00753A3D">
            <w:pPr>
              <w:pStyle w:val="a5"/>
              <w:tabs>
                <w:tab w:val="clear" w:pos="4677"/>
                <w:tab w:val="clear" w:pos="9355"/>
                <w:tab w:val="left" w:pos="1260"/>
                <w:tab w:val="left" w:pos="1980"/>
              </w:tabs>
              <w:ind w:left="16"/>
            </w:pPr>
            <w:r>
              <w:lastRenderedPageBreak/>
              <w:t>10.</w:t>
            </w:r>
            <w:r w:rsidRPr="00FC2BD9">
              <w:t>Інформація</w:t>
            </w:r>
          </w:p>
          <w:p w:rsidR="00753A3D" w:rsidRPr="00FC2BD9" w:rsidRDefault="00753A3D" w:rsidP="00753A3D">
            <w:pPr>
              <w:pStyle w:val="a5"/>
              <w:tabs>
                <w:tab w:val="clear" w:pos="4677"/>
                <w:tab w:val="clear" w:pos="9355"/>
                <w:tab w:val="left" w:pos="1260"/>
                <w:tab w:val="left" w:pos="1980"/>
              </w:tabs>
              <w:ind w:left="16"/>
            </w:pPr>
            <w:r w:rsidRPr="00FC2BD9">
              <w:t xml:space="preserve">щодо підтвердження ступеня локалізації виробництва </w:t>
            </w:r>
            <w:r w:rsidRPr="00FC2BD9">
              <w:lastRenderedPageBreak/>
              <w:t>товару відповідно до</w:t>
            </w:r>
          </w:p>
          <w:p w:rsidR="00753A3D" w:rsidRPr="00FC2BD9" w:rsidRDefault="00753A3D" w:rsidP="00753A3D">
            <w:pPr>
              <w:pStyle w:val="a5"/>
              <w:tabs>
                <w:tab w:val="clear" w:pos="4677"/>
                <w:tab w:val="clear" w:pos="9355"/>
                <w:tab w:val="left" w:pos="1260"/>
                <w:tab w:val="left" w:pos="1980"/>
              </w:tabs>
              <w:ind w:left="16"/>
            </w:pPr>
            <w:r w:rsidRPr="00FC2BD9">
              <w:t xml:space="preserve">Закону України  </w:t>
            </w:r>
          </w:p>
          <w:p w:rsidR="00753A3D" w:rsidRPr="00FC2BD9" w:rsidRDefault="00753A3D" w:rsidP="00753A3D">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753A3D" w:rsidRPr="00FC2BD9" w:rsidRDefault="00753A3D" w:rsidP="00753A3D">
            <w:pPr>
              <w:pStyle w:val="a5"/>
              <w:tabs>
                <w:tab w:val="clear" w:pos="4677"/>
                <w:tab w:val="clear" w:pos="9355"/>
                <w:tab w:val="left" w:pos="1260"/>
                <w:tab w:val="left" w:pos="1980"/>
              </w:tabs>
              <w:ind w:left="16"/>
            </w:pPr>
            <w:r w:rsidRPr="00FC2BD9">
              <w:t>від 16 грудня 2021 р.</w:t>
            </w:r>
          </w:p>
          <w:p w:rsidR="00753A3D" w:rsidRPr="00FC2BD9" w:rsidRDefault="00753A3D" w:rsidP="00753A3D">
            <w:pPr>
              <w:pStyle w:val="a5"/>
              <w:tabs>
                <w:tab w:val="clear" w:pos="4677"/>
                <w:tab w:val="clear" w:pos="9355"/>
                <w:tab w:val="left" w:pos="1260"/>
                <w:tab w:val="left" w:pos="1980"/>
              </w:tabs>
              <w:ind w:left="16"/>
            </w:pPr>
            <w:r w:rsidRPr="00FC2BD9">
              <w:t xml:space="preserve">№1977-IX </w:t>
            </w:r>
          </w:p>
        </w:tc>
        <w:tc>
          <w:tcPr>
            <w:tcW w:w="8009" w:type="dxa"/>
            <w:gridSpan w:val="2"/>
            <w:vAlign w:val="center"/>
          </w:tcPr>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lastRenderedPageBreak/>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w:t>
            </w:r>
            <w:r w:rsidRPr="00FC2BD9">
              <w:rPr>
                <w:rFonts w:ascii="Times New Roman" w:hAnsi="Times New Roman"/>
                <w:sz w:val="24"/>
                <w:shd w:val="clear" w:color="auto" w:fill="FFFFFF"/>
              </w:rPr>
              <w:lastRenderedPageBreak/>
              <w:t>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753A3D" w:rsidRPr="00FC2BD9" w:rsidRDefault="00753A3D"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p>
          <w:p w:rsidR="00753A3D" w:rsidRPr="00FC2BD9" w:rsidRDefault="00753A3D" w:rsidP="00753A3D">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753A3D" w:rsidRPr="00FC2BD9" w:rsidRDefault="00753A3D" w:rsidP="00753A3D">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753A3D" w:rsidRPr="00FC2BD9" w:rsidRDefault="00753A3D" w:rsidP="00753A3D">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rsidR="00BF1344">
              <w:t xml:space="preserve"> дорівнює чи перевищує у 2023</w:t>
            </w:r>
            <w:r w:rsidRPr="00FC2BD9">
              <w:t xml:space="preserve"> році - </w:t>
            </w:r>
            <w:r w:rsidR="00BF1344">
              <w:t>15</w:t>
            </w:r>
            <w:r w:rsidRPr="00FC2BD9">
              <w:t xml:space="preserve"> </w:t>
            </w:r>
            <w:r w:rsidR="00BF1344">
              <w:t>(п'ятнадцять)</w:t>
            </w:r>
            <w:r w:rsidRPr="00FC2BD9">
              <w:t xml:space="preserve"> відсотків.</w:t>
            </w:r>
          </w:p>
          <w:p w:rsidR="00753A3D" w:rsidRPr="00FC2BD9" w:rsidRDefault="00753A3D" w:rsidP="00753A3D">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753A3D" w:rsidRPr="00FC2BD9" w:rsidRDefault="00753A3D" w:rsidP="00753A3D">
            <w:pPr>
              <w:shd w:val="clear" w:color="auto" w:fill="FFFFFF"/>
              <w:spacing w:line="253" w:lineRule="atLeast"/>
              <w:ind w:firstLine="20"/>
              <w:jc w:val="both"/>
              <w:rPr>
                <w:shd w:val="clear" w:color="auto" w:fill="FFFFFF"/>
              </w:rPr>
            </w:pPr>
          </w:p>
          <w:p w:rsidR="00753A3D" w:rsidRPr="00FC2BD9" w:rsidRDefault="00753A3D" w:rsidP="00753A3D">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53A3D" w:rsidRPr="00FC2BD9" w:rsidRDefault="00753A3D" w:rsidP="00753A3D">
            <w:pPr>
              <w:shd w:val="clear" w:color="auto" w:fill="FFFFFF"/>
              <w:tabs>
                <w:tab w:val="left" w:pos="7328"/>
              </w:tabs>
              <w:spacing w:line="253" w:lineRule="atLeast"/>
              <w:jc w:val="both"/>
            </w:pPr>
            <w:r w:rsidRPr="00FC2BD9">
              <w:t xml:space="preserve">Перелік країн, з якими укладено угоди про вільну торгівлю, а також перелік країн, які є учасниками Угоди про державні закупівлі, до якої Україна </w:t>
            </w:r>
            <w:r w:rsidRPr="00FC2BD9">
              <w:lastRenderedPageBreak/>
              <w:t>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753A3D" w:rsidRPr="00FC2BD9" w:rsidRDefault="00753A3D"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753A3D" w:rsidRPr="00FC2BD9" w:rsidRDefault="00753A3D" w:rsidP="00753A3D">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753A3D" w:rsidRPr="00C941C6" w:rsidTr="000E201F">
        <w:trPr>
          <w:gridAfter w:val="1"/>
          <w:wAfter w:w="12" w:type="dxa"/>
        </w:trPr>
        <w:tc>
          <w:tcPr>
            <w:tcW w:w="1925" w:type="dxa"/>
            <w:gridSpan w:val="2"/>
          </w:tcPr>
          <w:p w:rsidR="00753A3D" w:rsidRDefault="00753A3D" w:rsidP="00753A3D">
            <w:r>
              <w:lastRenderedPageBreak/>
              <w:t>11</w:t>
            </w:r>
            <w:r w:rsidRPr="004B033A">
              <w:t>. Інформація про протоколи випробувань або сертифікати, що підтверджують відповідність предмета закупівлі</w:t>
            </w:r>
          </w:p>
        </w:tc>
        <w:tc>
          <w:tcPr>
            <w:tcW w:w="8009" w:type="dxa"/>
            <w:gridSpan w:val="2"/>
          </w:tcPr>
          <w:p w:rsidR="00753A3D" w:rsidRDefault="00753A3D" w:rsidP="00753A3D">
            <w:r>
              <w:t>-------------</w:t>
            </w:r>
          </w:p>
        </w:tc>
      </w:tr>
      <w:tr w:rsidR="004F5432" w:rsidRPr="00C941C6" w:rsidTr="000E201F">
        <w:trPr>
          <w:gridAfter w:val="1"/>
          <w:wAfter w:w="12" w:type="dxa"/>
        </w:trPr>
        <w:tc>
          <w:tcPr>
            <w:tcW w:w="1925" w:type="dxa"/>
            <w:gridSpan w:val="2"/>
            <w:vAlign w:val="center"/>
          </w:tcPr>
          <w:p w:rsidR="004F5432" w:rsidRPr="000E698A" w:rsidRDefault="00753A3D" w:rsidP="000E698A">
            <w:pPr>
              <w:pStyle w:val="a5"/>
              <w:tabs>
                <w:tab w:val="clear" w:pos="4677"/>
                <w:tab w:val="clear" w:pos="9355"/>
                <w:tab w:val="left" w:pos="1260"/>
                <w:tab w:val="left" w:pos="1980"/>
              </w:tabs>
            </w:pPr>
            <w:r>
              <w:t>12</w:t>
            </w:r>
            <w:r w:rsidR="004F5432" w:rsidRPr="00C941C6">
              <w:t xml:space="preserve">. Підстави, </w:t>
            </w:r>
            <w:r w:rsidR="000E698A">
              <w:t>визначені  пунктом 44 Особливостей</w:t>
            </w:r>
          </w:p>
        </w:tc>
        <w:tc>
          <w:tcPr>
            <w:tcW w:w="8009"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3A3D" w:rsidRDefault="00753A3D" w:rsidP="00753A3D">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753A3D" w:rsidRDefault="00753A3D" w:rsidP="00753A3D">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w:t>
            </w:r>
            <w:r w:rsidRPr="00D45EB3">
              <w:rPr>
                <w:color w:val="000000" w:themeColor="text1"/>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0E201F">
        <w:trPr>
          <w:gridAfter w:val="1"/>
          <w:wAfter w:w="12" w:type="dxa"/>
        </w:trPr>
        <w:tc>
          <w:tcPr>
            <w:tcW w:w="1925" w:type="dxa"/>
            <w:gridSpan w:val="2"/>
            <w:vAlign w:val="center"/>
          </w:tcPr>
          <w:p w:rsidR="004F5432" w:rsidRPr="00C941C6" w:rsidRDefault="00753A3D" w:rsidP="004F5432">
            <w:pPr>
              <w:pStyle w:val="a5"/>
              <w:tabs>
                <w:tab w:val="clear" w:pos="4677"/>
                <w:tab w:val="clear" w:pos="9355"/>
                <w:tab w:val="left" w:pos="1260"/>
                <w:tab w:val="left" w:pos="1980"/>
              </w:tabs>
            </w:pPr>
            <w:r>
              <w:lastRenderedPageBreak/>
              <w:t>13</w:t>
            </w:r>
            <w:r w:rsidR="004F5432" w:rsidRPr="00A2624D">
              <w:t xml:space="preserve">. </w:t>
            </w:r>
            <w:r w:rsidR="004F5432">
              <w:t>Цінова пропозиція</w:t>
            </w:r>
          </w:p>
        </w:tc>
        <w:tc>
          <w:tcPr>
            <w:tcW w:w="8009"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0E201F">
        <w:trPr>
          <w:gridAfter w:val="1"/>
          <w:wAfter w:w="12" w:type="dxa"/>
          <w:trHeight w:val="384"/>
        </w:trPr>
        <w:tc>
          <w:tcPr>
            <w:tcW w:w="1925" w:type="dxa"/>
            <w:gridSpan w:val="2"/>
            <w:vAlign w:val="center"/>
          </w:tcPr>
          <w:p w:rsidR="004F5432" w:rsidRPr="00131F87" w:rsidRDefault="004F5432" w:rsidP="00753A3D">
            <w:pPr>
              <w:pStyle w:val="a5"/>
              <w:tabs>
                <w:tab w:val="clear" w:pos="4677"/>
                <w:tab w:val="clear" w:pos="9355"/>
                <w:tab w:val="left" w:pos="1260"/>
                <w:tab w:val="left" w:pos="1980"/>
              </w:tabs>
              <w:rPr>
                <w:color w:val="FF0000"/>
              </w:rPr>
            </w:pPr>
            <w:r w:rsidRPr="00131F87">
              <w:t>1</w:t>
            </w:r>
            <w:r w:rsidR="00753A3D">
              <w:t>4</w:t>
            </w:r>
            <w:r w:rsidRPr="00131F87">
              <w:t>. Інші умови тендерної документації</w:t>
            </w:r>
          </w:p>
        </w:tc>
        <w:tc>
          <w:tcPr>
            <w:tcW w:w="8009"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w:t>
            </w:r>
            <w:r w:rsidRPr="003D524A">
              <w:rPr>
                <w:rFonts w:ascii="Times New Roman" w:hAnsi="Times New Roman"/>
                <w:sz w:val="24"/>
                <w:szCs w:val="24"/>
                <w:lang w:eastAsia="ru-RU"/>
              </w:rPr>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8009"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DD03E6">
              <w:rPr>
                <w:b/>
                <w:color w:val="000000" w:themeColor="text1"/>
              </w:rPr>
              <w:t>23</w:t>
            </w:r>
            <w:r w:rsidR="00D45EB3">
              <w:rPr>
                <w:b/>
                <w:color w:val="000000" w:themeColor="text1"/>
              </w:rPr>
              <w:t xml:space="preserve"> </w:t>
            </w:r>
            <w:r w:rsidR="000E698A">
              <w:rPr>
                <w:b/>
                <w:color w:val="000000" w:themeColor="text1"/>
              </w:rPr>
              <w:t xml:space="preserve">березня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8009"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3. Розкриття тендерних пропозицій</w:t>
            </w:r>
          </w:p>
        </w:tc>
        <w:tc>
          <w:tcPr>
            <w:tcW w:w="8009"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8009"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f2"/>
              <w:rPr>
                <w:lang w:val="uk-UA"/>
              </w:rPr>
            </w:pPr>
            <w:r w:rsidRPr="00C941C6">
              <w:rPr>
                <w:lang w:val="uk-UA"/>
              </w:rPr>
              <w:t>2. Розгляд та оцінка тендерних пропозицій</w:t>
            </w:r>
          </w:p>
        </w:tc>
        <w:tc>
          <w:tcPr>
            <w:tcW w:w="8009"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3" w:name="n487"/>
            <w:bookmarkEnd w:id="3"/>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Pr>
                <w:highlight w:val="white"/>
              </w:rPr>
              <w:lastRenderedPageBreak/>
              <w:t xml:space="preserve">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0E201F">
        <w:tc>
          <w:tcPr>
            <w:tcW w:w="1925" w:type="dxa"/>
            <w:gridSpan w:val="2"/>
            <w:vAlign w:val="center"/>
          </w:tcPr>
          <w:p w:rsidR="004F5432" w:rsidRPr="00C941C6" w:rsidRDefault="004F5432" w:rsidP="004F5432">
            <w:pPr>
              <w:pStyle w:val="af2"/>
              <w:rPr>
                <w:lang w:val="uk-UA"/>
              </w:rPr>
            </w:pPr>
            <w:r w:rsidRPr="00C941C6">
              <w:rPr>
                <w:lang w:val="uk-UA"/>
              </w:rPr>
              <w:lastRenderedPageBreak/>
              <w:t>3. Інша інформація</w:t>
            </w:r>
          </w:p>
        </w:tc>
        <w:tc>
          <w:tcPr>
            <w:tcW w:w="8021" w:type="dxa"/>
            <w:gridSpan w:val="3"/>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3B215A">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3B215A">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3B215A">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3B215A">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3B215A">
                  <w:pPr>
                    <w:framePr w:hSpace="180" w:wrap="around" w:vAnchor="text" w:hAnchor="text" w:xAlign="right" w:y="1"/>
                    <w:suppressOverlap/>
                    <w:jc w:val="both"/>
                    <w:rPr>
                      <w:b/>
                      <w:color w:val="000000" w:themeColor="text1"/>
                      <w:sz w:val="20"/>
                      <w:szCs w:val="20"/>
                    </w:rPr>
                  </w:pP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3B215A">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5025B">
                    <w:rPr>
                      <w:color w:val="000000" w:themeColor="text1"/>
                      <w:sz w:val="20"/>
                      <w:szCs w:val="20"/>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3B215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sidRPr="0095025B">
                    <w:rPr>
                      <w:color w:val="000000" w:themeColor="text1"/>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3B215A">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3B215A">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3B215A">
                  <w:pPr>
                    <w:framePr w:hSpace="180" w:wrap="around" w:vAnchor="text" w:hAnchor="text" w:xAlign="right" w:y="1"/>
                    <w:suppressOverlap/>
                    <w:jc w:val="both"/>
                    <w:rPr>
                      <w:b/>
                      <w:color w:val="000000" w:themeColor="text1"/>
                      <w:sz w:val="20"/>
                      <w:szCs w:val="20"/>
                    </w:rPr>
                  </w:pPr>
                </w:p>
                <w:p w:rsidR="0095025B" w:rsidRPr="0095025B" w:rsidRDefault="0095025B" w:rsidP="003B215A">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5025B">
                    <w:rPr>
                      <w:color w:val="000000" w:themeColor="text1"/>
                      <w:sz w:val="20"/>
                      <w:szCs w:val="20"/>
                    </w:rPr>
                    <w:lastRenderedPageBreak/>
                    <w:t>використанням дитячої праці чи будь-якими формами торгівлі людьми.</w:t>
                  </w:r>
                </w:p>
                <w:p w:rsidR="0095025B" w:rsidRPr="0095025B" w:rsidRDefault="0095025B" w:rsidP="003B215A">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3B215A">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3B215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lastRenderedPageBreak/>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w:t>
            </w:r>
            <w:r w:rsidR="0095025B" w:rsidRPr="000E201F">
              <w:rPr>
                <w:color w:val="000000" w:themeColor="text1"/>
              </w:rPr>
              <w:t>Особливостей</w:t>
            </w:r>
            <w:r w:rsidR="000E201F" w:rsidRPr="000E201F">
              <w:rPr>
                <w:color w:val="000000" w:themeColor="text1"/>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w:t>
            </w:r>
            <w:r w:rsidRPr="0095025B">
              <w:rPr>
                <w:rFonts w:ascii="Times New Roman" w:hAnsi="Times New Roman"/>
                <w:color w:val="000000" w:themeColor="text1"/>
                <w:sz w:val="24"/>
                <w:lang w:eastAsia="uk-UA"/>
              </w:rPr>
              <w:lastRenderedPageBreak/>
              <w:t>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30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lastRenderedPageBreak/>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753A3D">
        <w:tc>
          <w:tcPr>
            <w:tcW w:w="9946"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0E201F">
        <w:tc>
          <w:tcPr>
            <w:tcW w:w="1641"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30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 xml:space="preserve">3) скорочення обсягу видатків на здійснення закупівлі товарів, робіт чи </w:t>
            </w:r>
            <w:r>
              <w:lastRenderedPageBreak/>
              <w:t>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830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830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1A52EA">
            <w:pPr>
              <w:widowControl w:val="0"/>
              <w:numPr>
                <w:ilvl w:val="0"/>
                <w:numId w:val="6"/>
              </w:numPr>
              <w:pBdr>
                <w:top w:val="nil"/>
                <w:left w:val="nil"/>
                <w:bottom w:val="nil"/>
                <w:right w:val="nil"/>
                <w:between w:val="nil"/>
              </w:pBdr>
              <w:spacing w:after="160" w:line="259" w:lineRule="auto"/>
              <w:jc w:val="both"/>
              <w:rPr>
                <w:color w:val="000000"/>
              </w:rPr>
            </w:pPr>
            <w:r>
              <w:rPr>
                <w:color w:val="000000"/>
              </w:rPr>
              <w:lastRenderedPageBreak/>
              <w:t>інформацію про право підписання договору про закупівлю;</w:t>
            </w:r>
          </w:p>
          <w:p w:rsidR="008C25C5" w:rsidRDefault="008C25C5" w:rsidP="001A52EA">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0E201F">
        <w:tc>
          <w:tcPr>
            <w:tcW w:w="1641"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830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131F87">
              <w:rPr>
                <w:rFonts w:ascii="Times New Roman" w:hAnsi="Times New Roman"/>
                <w:color w:val="000000" w:themeColor="text1"/>
                <w:sz w:val="24"/>
                <w:lang w:eastAsia="uk-UA"/>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укладення договору з порушенням строків, передбачених абзацами третім та четвертим пункту 46 Особливостей, крім випадків зупинення перебігу </w:t>
            </w:r>
            <w:r w:rsidRPr="00131F87">
              <w:rPr>
                <w:rFonts w:ascii="Times New Roman" w:hAnsi="Times New Roman"/>
                <w:color w:val="000000" w:themeColor="text1"/>
                <w:sz w:val="24"/>
                <w:lang w:eastAsia="uk-UA"/>
              </w:rPr>
              <w:lastRenderedPageBreak/>
              <w:t>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0E201F">
        <w:trPr>
          <w:trHeight w:val="530"/>
        </w:trPr>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830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830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9C1991" w:rsidRPr="00E336F0" w:rsidRDefault="009C1991" w:rsidP="009C1991">
      <w:pPr>
        <w:jc w:val="center"/>
        <w:rPr>
          <w:b/>
          <w:lang w:val="ru-RU"/>
        </w:rPr>
      </w:pPr>
      <w:r w:rsidRPr="00E336F0">
        <w:rPr>
          <w:b/>
          <w:lang w:val="ru-RU"/>
        </w:rPr>
        <w:t>про закупівлю товарів</w:t>
      </w:r>
    </w:p>
    <w:p w:rsidR="009C1991" w:rsidRPr="00E336F0" w:rsidRDefault="009C1991" w:rsidP="009C1991">
      <w:pPr>
        <w:jc w:val="center"/>
        <w:rPr>
          <w:b/>
        </w:rPr>
      </w:pPr>
    </w:p>
    <w:p w:rsidR="00EC1A6F" w:rsidRPr="00E336F0" w:rsidRDefault="00EC1A6F" w:rsidP="00EC1A6F">
      <w:pPr>
        <w:jc w:val="center"/>
        <w:rPr>
          <w:b/>
        </w:rPr>
      </w:pPr>
    </w:p>
    <w:p w:rsidR="00DD03E6" w:rsidRPr="00E336F0" w:rsidRDefault="00DD03E6" w:rsidP="00DD03E6">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DD03E6" w:rsidRPr="00E336F0" w:rsidRDefault="00DD03E6" w:rsidP="00DD03E6">
      <w:pPr>
        <w:jc w:val="center"/>
      </w:pPr>
    </w:p>
    <w:p w:rsidR="00DD03E6" w:rsidRPr="00E336F0" w:rsidRDefault="00DD03E6" w:rsidP="00DD03E6">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D03E6" w:rsidRPr="00E336F0" w:rsidRDefault="00DD03E6" w:rsidP="00DD03E6">
      <w:pPr>
        <w:jc w:val="both"/>
        <w:rPr>
          <w:lang w:val="ru-RU"/>
        </w:rPr>
      </w:pPr>
    </w:p>
    <w:p w:rsidR="00DD03E6" w:rsidRPr="00E336F0" w:rsidRDefault="00DD03E6" w:rsidP="00DD03E6">
      <w:pPr>
        <w:numPr>
          <w:ilvl w:val="0"/>
          <w:numId w:val="1"/>
        </w:numPr>
        <w:contextualSpacing/>
        <w:jc w:val="center"/>
        <w:rPr>
          <w:lang w:val="en-US"/>
        </w:rPr>
      </w:pPr>
      <w:r w:rsidRPr="00E336F0">
        <w:rPr>
          <w:b/>
          <w:lang w:val="ru-RU"/>
        </w:rPr>
        <w:t>ПРЕДМЕТ ДОГОВОРУ</w:t>
      </w:r>
    </w:p>
    <w:p w:rsidR="00DD03E6" w:rsidRPr="00E336F0" w:rsidRDefault="00DD03E6" w:rsidP="00DD03E6">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D03E6" w:rsidRPr="00E336F0" w:rsidRDefault="00DD03E6" w:rsidP="00DD03E6">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D03E6" w:rsidRPr="00E336F0" w:rsidTr="00DD03E6">
        <w:tc>
          <w:tcPr>
            <w:tcW w:w="426" w:type="dxa"/>
            <w:vAlign w:val="center"/>
          </w:tcPr>
          <w:p w:rsidR="00DD03E6" w:rsidRPr="007C175E" w:rsidRDefault="00DD03E6" w:rsidP="00DD03E6">
            <w:pPr>
              <w:jc w:val="center"/>
              <w:rPr>
                <w:b/>
                <w:sz w:val="20"/>
                <w:szCs w:val="20"/>
              </w:rPr>
            </w:pPr>
            <w:r w:rsidRPr="007C175E">
              <w:rPr>
                <w:b/>
                <w:sz w:val="20"/>
                <w:szCs w:val="20"/>
              </w:rPr>
              <w:t>№ п/п</w:t>
            </w:r>
          </w:p>
        </w:tc>
        <w:tc>
          <w:tcPr>
            <w:tcW w:w="3969" w:type="dxa"/>
            <w:vAlign w:val="center"/>
          </w:tcPr>
          <w:p w:rsidR="00DD03E6" w:rsidRPr="007C175E" w:rsidRDefault="00DD03E6" w:rsidP="00DD03E6">
            <w:pPr>
              <w:jc w:val="center"/>
              <w:rPr>
                <w:b/>
                <w:sz w:val="20"/>
                <w:szCs w:val="20"/>
              </w:rPr>
            </w:pPr>
            <w:r>
              <w:rPr>
                <w:b/>
                <w:sz w:val="20"/>
                <w:szCs w:val="20"/>
              </w:rPr>
              <w:t>Предмет закупівлі</w:t>
            </w:r>
          </w:p>
        </w:tc>
        <w:tc>
          <w:tcPr>
            <w:tcW w:w="708" w:type="dxa"/>
            <w:vAlign w:val="center"/>
          </w:tcPr>
          <w:p w:rsidR="00DD03E6" w:rsidRPr="007C175E" w:rsidRDefault="00DD03E6" w:rsidP="00DD03E6">
            <w:pPr>
              <w:jc w:val="center"/>
              <w:rPr>
                <w:b/>
                <w:sz w:val="20"/>
                <w:szCs w:val="20"/>
              </w:rPr>
            </w:pPr>
            <w:r w:rsidRPr="007C175E">
              <w:rPr>
                <w:b/>
                <w:sz w:val="20"/>
                <w:szCs w:val="20"/>
              </w:rPr>
              <w:t>Од. вим.</w:t>
            </w:r>
          </w:p>
        </w:tc>
        <w:tc>
          <w:tcPr>
            <w:tcW w:w="709" w:type="dxa"/>
            <w:vAlign w:val="center"/>
          </w:tcPr>
          <w:p w:rsidR="00DD03E6" w:rsidRPr="007C175E" w:rsidRDefault="00DD03E6" w:rsidP="00DD03E6">
            <w:pPr>
              <w:jc w:val="center"/>
              <w:rPr>
                <w:b/>
                <w:sz w:val="20"/>
                <w:szCs w:val="20"/>
              </w:rPr>
            </w:pPr>
            <w:r w:rsidRPr="007C175E">
              <w:rPr>
                <w:b/>
                <w:sz w:val="20"/>
                <w:szCs w:val="20"/>
              </w:rPr>
              <w:t>Кіль-кість</w:t>
            </w:r>
          </w:p>
        </w:tc>
        <w:tc>
          <w:tcPr>
            <w:tcW w:w="1276" w:type="dxa"/>
            <w:vAlign w:val="center"/>
          </w:tcPr>
          <w:p w:rsidR="00DD03E6" w:rsidRPr="007C175E" w:rsidRDefault="00DD03E6" w:rsidP="00DD03E6">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DD03E6" w:rsidRPr="007C175E" w:rsidRDefault="00DD03E6" w:rsidP="00DD03E6">
            <w:pPr>
              <w:rPr>
                <w:b/>
                <w:sz w:val="20"/>
                <w:szCs w:val="20"/>
              </w:rPr>
            </w:pPr>
            <w:r>
              <w:rPr>
                <w:b/>
                <w:sz w:val="20"/>
                <w:szCs w:val="20"/>
              </w:rPr>
              <w:t>Сума</w:t>
            </w:r>
            <w:r w:rsidRPr="007C175E">
              <w:rPr>
                <w:b/>
                <w:sz w:val="20"/>
                <w:szCs w:val="20"/>
              </w:rPr>
              <w:t>, грн. без ПДВ</w:t>
            </w:r>
          </w:p>
        </w:tc>
        <w:tc>
          <w:tcPr>
            <w:tcW w:w="1701" w:type="dxa"/>
            <w:vAlign w:val="center"/>
          </w:tcPr>
          <w:p w:rsidR="00DD03E6" w:rsidRPr="00DA57E4" w:rsidRDefault="00DD03E6" w:rsidP="00DD03E6">
            <w:pPr>
              <w:rPr>
                <w:b/>
                <w:sz w:val="20"/>
                <w:szCs w:val="20"/>
              </w:rPr>
            </w:pPr>
            <w:r w:rsidRPr="00DA57E4">
              <w:rPr>
                <w:b/>
                <w:sz w:val="20"/>
                <w:szCs w:val="20"/>
              </w:rPr>
              <w:t>Підприємство-виробник,кра-їна-виробник</w:t>
            </w:r>
          </w:p>
        </w:tc>
      </w:tr>
      <w:tr w:rsidR="00DD03E6" w:rsidRPr="00E336F0" w:rsidTr="00DD03E6">
        <w:tc>
          <w:tcPr>
            <w:tcW w:w="426" w:type="dxa"/>
            <w:vAlign w:val="center"/>
          </w:tcPr>
          <w:p w:rsidR="00DD03E6" w:rsidRPr="00E336F0" w:rsidRDefault="00DD03E6" w:rsidP="00DD03E6">
            <w:r w:rsidRPr="00E336F0">
              <w:t>1</w:t>
            </w:r>
          </w:p>
        </w:tc>
        <w:tc>
          <w:tcPr>
            <w:tcW w:w="3969" w:type="dxa"/>
            <w:vAlign w:val="center"/>
          </w:tcPr>
          <w:p w:rsidR="00DD03E6" w:rsidRPr="00E336F0" w:rsidRDefault="00DD03E6" w:rsidP="00DD03E6"/>
        </w:tc>
        <w:tc>
          <w:tcPr>
            <w:tcW w:w="708" w:type="dxa"/>
            <w:vAlign w:val="center"/>
          </w:tcPr>
          <w:p w:rsidR="00DD03E6" w:rsidRPr="00E336F0" w:rsidRDefault="00DD03E6" w:rsidP="00DD03E6"/>
        </w:tc>
        <w:tc>
          <w:tcPr>
            <w:tcW w:w="709" w:type="dxa"/>
            <w:vAlign w:val="center"/>
          </w:tcPr>
          <w:p w:rsidR="00DD03E6" w:rsidRPr="00E336F0" w:rsidRDefault="00DD03E6" w:rsidP="00DD03E6"/>
        </w:tc>
        <w:tc>
          <w:tcPr>
            <w:tcW w:w="1276" w:type="dxa"/>
            <w:vAlign w:val="center"/>
          </w:tcPr>
          <w:p w:rsidR="00DD03E6" w:rsidRPr="00E336F0" w:rsidRDefault="00DD03E6" w:rsidP="00DD03E6"/>
        </w:tc>
        <w:tc>
          <w:tcPr>
            <w:tcW w:w="1276" w:type="dxa"/>
            <w:vAlign w:val="center"/>
          </w:tcPr>
          <w:p w:rsidR="00DD03E6" w:rsidRPr="00E336F0" w:rsidRDefault="00DD03E6" w:rsidP="00DD03E6"/>
        </w:tc>
        <w:tc>
          <w:tcPr>
            <w:tcW w:w="1701" w:type="dxa"/>
            <w:vAlign w:val="center"/>
          </w:tcPr>
          <w:p w:rsidR="00DD03E6" w:rsidRPr="00E336F0" w:rsidRDefault="00DD03E6" w:rsidP="00DD03E6"/>
        </w:tc>
      </w:tr>
      <w:tr w:rsidR="00DD03E6" w:rsidRPr="00E336F0" w:rsidTr="00DD03E6">
        <w:tc>
          <w:tcPr>
            <w:tcW w:w="426" w:type="dxa"/>
            <w:vAlign w:val="center"/>
          </w:tcPr>
          <w:p w:rsidR="00DD03E6" w:rsidRPr="00E336F0" w:rsidRDefault="00DD03E6" w:rsidP="00DD03E6">
            <w:r w:rsidRPr="00E336F0">
              <w:t>2</w:t>
            </w:r>
          </w:p>
        </w:tc>
        <w:tc>
          <w:tcPr>
            <w:tcW w:w="3969" w:type="dxa"/>
            <w:vAlign w:val="center"/>
          </w:tcPr>
          <w:p w:rsidR="00DD03E6" w:rsidRPr="00E336F0" w:rsidRDefault="00DD03E6" w:rsidP="00DD03E6"/>
        </w:tc>
        <w:tc>
          <w:tcPr>
            <w:tcW w:w="708" w:type="dxa"/>
            <w:vAlign w:val="center"/>
          </w:tcPr>
          <w:p w:rsidR="00DD03E6" w:rsidRPr="00E336F0" w:rsidRDefault="00DD03E6" w:rsidP="00DD03E6"/>
        </w:tc>
        <w:tc>
          <w:tcPr>
            <w:tcW w:w="709" w:type="dxa"/>
            <w:vAlign w:val="center"/>
          </w:tcPr>
          <w:p w:rsidR="00DD03E6" w:rsidRPr="00E336F0" w:rsidRDefault="00DD03E6" w:rsidP="00DD03E6"/>
        </w:tc>
        <w:tc>
          <w:tcPr>
            <w:tcW w:w="1276" w:type="dxa"/>
            <w:vAlign w:val="center"/>
          </w:tcPr>
          <w:p w:rsidR="00DD03E6" w:rsidRPr="00E336F0" w:rsidRDefault="00DD03E6" w:rsidP="00DD03E6"/>
        </w:tc>
        <w:tc>
          <w:tcPr>
            <w:tcW w:w="1276" w:type="dxa"/>
            <w:vAlign w:val="center"/>
          </w:tcPr>
          <w:p w:rsidR="00DD03E6" w:rsidRPr="00E336F0" w:rsidRDefault="00DD03E6" w:rsidP="00DD03E6"/>
        </w:tc>
        <w:tc>
          <w:tcPr>
            <w:tcW w:w="1701" w:type="dxa"/>
            <w:vAlign w:val="center"/>
          </w:tcPr>
          <w:p w:rsidR="00DD03E6" w:rsidRPr="00E336F0" w:rsidRDefault="00DD03E6" w:rsidP="00DD03E6"/>
        </w:tc>
      </w:tr>
      <w:tr w:rsidR="00DD03E6" w:rsidRPr="00E336F0" w:rsidTr="00DD03E6">
        <w:tc>
          <w:tcPr>
            <w:tcW w:w="426" w:type="dxa"/>
            <w:vAlign w:val="center"/>
          </w:tcPr>
          <w:p w:rsidR="00DD03E6" w:rsidRPr="00E336F0" w:rsidRDefault="00DD03E6" w:rsidP="00DD03E6">
            <w:r w:rsidRPr="00E336F0">
              <w:t>3</w:t>
            </w:r>
          </w:p>
        </w:tc>
        <w:tc>
          <w:tcPr>
            <w:tcW w:w="3969" w:type="dxa"/>
            <w:vAlign w:val="center"/>
          </w:tcPr>
          <w:p w:rsidR="00DD03E6" w:rsidRPr="00E336F0" w:rsidRDefault="00DD03E6" w:rsidP="00DD03E6"/>
        </w:tc>
        <w:tc>
          <w:tcPr>
            <w:tcW w:w="708" w:type="dxa"/>
            <w:vAlign w:val="center"/>
          </w:tcPr>
          <w:p w:rsidR="00DD03E6" w:rsidRPr="00E336F0" w:rsidRDefault="00DD03E6" w:rsidP="00DD03E6"/>
        </w:tc>
        <w:tc>
          <w:tcPr>
            <w:tcW w:w="709" w:type="dxa"/>
            <w:vAlign w:val="center"/>
          </w:tcPr>
          <w:p w:rsidR="00DD03E6" w:rsidRPr="00E336F0" w:rsidRDefault="00DD03E6" w:rsidP="00DD03E6"/>
        </w:tc>
        <w:tc>
          <w:tcPr>
            <w:tcW w:w="1276" w:type="dxa"/>
            <w:vAlign w:val="center"/>
          </w:tcPr>
          <w:p w:rsidR="00DD03E6" w:rsidRPr="00E336F0" w:rsidRDefault="00DD03E6" w:rsidP="00DD03E6"/>
        </w:tc>
        <w:tc>
          <w:tcPr>
            <w:tcW w:w="1276" w:type="dxa"/>
            <w:vAlign w:val="center"/>
          </w:tcPr>
          <w:p w:rsidR="00DD03E6" w:rsidRPr="00E336F0" w:rsidRDefault="00DD03E6" w:rsidP="00DD03E6"/>
        </w:tc>
        <w:tc>
          <w:tcPr>
            <w:tcW w:w="1701" w:type="dxa"/>
            <w:vAlign w:val="center"/>
          </w:tcPr>
          <w:p w:rsidR="00DD03E6" w:rsidRPr="00E336F0" w:rsidRDefault="00DD03E6" w:rsidP="00DD03E6"/>
        </w:tc>
      </w:tr>
    </w:tbl>
    <w:p w:rsidR="00DD03E6" w:rsidRPr="00E336F0" w:rsidRDefault="00DD03E6" w:rsidP="00DD03E6">
      <w:pPr>
        <w:numPr>
          <w:ilvl w:val="1"/>
          <w:numId w:val="1"/>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D03E6" w:rsidRPr="00E336F0" w:rsidRDefault="00DD03E6" w:rsidP="00DD03E6">
      <w:pPr>
        <w:numPr>
          <w:ilvl w:val="1"/>
          <w:numId w:val="1"/>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D03E6" w:rsidRPr="00E336F0" w:rsidRDefault="00DD03E6" w:rsidP="00DD03E6">
      <w:pPr>
        <w:numPr>
          <w:ilvl w:val="1"/>
          <w:numId w:val="1"/>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D03E6" w:rsidRPr="00E336F0" w:rsidRDefault="00DD03E6" w:rsidP="00DD03E6">
      <w:pPr>
        <w:numPr>
          <w:ilvl w:val="1"/>
          <w:numId w:val="1"/>
        </w:numPr>
        <w:tabs>
          <w:tab w:val="left" w:pos="5760"/>
        </w:tabs>
        <w:jc w:val="both"/>
        <w:rPr>
          <w:lang w:val="ru-RU"/>
        </w:rPr>
      </w:pPr>
      <w:r w:rsidRPr="00E336F0">
        <w:rPr>
          <w:lang w:val="ru-RU"/>
        </w:rPr>
        <w:t>Місце виконання договору- м.Івано-Франківськ.</w:t>
      </w:r>
    </w:p>
    <w:p w:rsidR="00DD03E6" w:rsidRPr="00E336F0" w:rsidRDefault="00DD03E6" w:rsidP="00DD03E6">
      <w:pPr>
        <w:tabs>
          <w:tab w:val="left" w:pos="5760"/>
        </w:tabs>
        <w:jc w:val="both"/>
        <w:rPr>
          <w:lang w:val="ru-RU"/>
        </w:rPr>
      </w:pPr>
    </w:p>
    <w:p w:rsidR="00DD03E6" w:rsidRPr="00E336F0" w:rsidRDefault="00DD03E6" w:rsidP="00DD03E6">
      <w:pPr>
        <w:numPr>
          <w:ilvl w:val="0"/>
          <w:numId w:val="1"/>
        </w:numPr>
        <w:jc w:val="center"/>
        <w:rPr>
          <w:b/>
          <w:lang w:val="ru-RU"/>
        </w:rPr>
      </w:pPr>
      <w:r w:rsidRPr="00E336F0">
        <w:rPr>
          <w:b/>
          <w:lang w:val="ru-RU"/>
        </w:rPr>
        <w:t>СУМА ДОГОВОРУ</w:t>
      </w:r>
    </w:p>
    <w:p w:rsidR="00DD03E6" w:rsidRPr="00E336F0" w:rsidRDefault="00DD03E6" w:rsidP="00DD03E6">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D03E6" w:rsidRDefault="00DD03E6" w:rsidP="00DD03E6">
      <w:pPr>
        <w:numPr>
          <w:ilvl w:val="1"/>
          <w:numId w:val="1"/>
        </w:numPr>
        <w:tabs>
          <w:tab w:val="left" w:pos="5760"/>
        </w:tabs>
        <w:jc w:val="both"/>
        <w:rPr>
          <w:lang w:val="ru-RU"/>
        </w:rPr>
      </w:pPr>
      <w:r w:rsidRPr="00A557C4">
        <w:rPr>
          <w:lang w:val="ru-RU"/>
        </w:rPr>
        <w:t>Сума фінансування заходу, визначеного розділом 1 цього Договору на 202</w:t>
      </w:r>
      <w:r>
        <w:rPr>
          <w:lang w:val="ru-RU"/>
        </w:rPr>
        <w:t>3</w:t>
      </w:r>
      <w:r w:rsidRPr="00A557C4">
        <w:rPr>
          <w:lang w:val="ru-RU"/>
        </w:rPr>
        <w:t xml:space="preserve">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w:t>
      </w:r>
      <w:r w:rsidRPr="00A14213">
        <w:rPr>
          <w:lang w:val="ru-RU"/>
        </w:rPr>
        <w:t>31.01.2023 № 173 - ________________________</w:t>
      </w:r>
      <w:r w:rsidRPr="00A557C4">
        <w:rPr>
          <w:lang w:val="ru-RU"/>
        </w:rPr>
        <w:t>грн.</w:t>
      </w:r>
    </w:p>
    <w:p w:rsidR="00DD03E6" w:rsidRPr="00E336F0" w:rsidRDefault="00DD03E6" w:rsidP="00DD03E6">
      <w:pPr>
        <w:tabs>
          <w:tab w:val="left" w:pos="5760"/>
        </w:tabs>
        <w:jc w:val="both"/>
        <w:rPr>
          <w:lang w:val="ru-RU"/>
        </w:rPr>
      </w:pPr>
    </w:p>
    <w:p w:rsidR="00DD03E6" w:rsidRPr="00E336F0" w:rsidRDefault="00DD03E6" w:rsidP="00DD03E6">
      <w:pPr>
        <w:numPr>
          <w:ilvl w:val="0"/>
          <w:numId w:val="1"/>
        </w:numPr>
        <w:jc w:val="center"/>
        <w:rPr>
          <w:b/>
          <w:lang w:val="ru-RU"/>
        </w:rPr>
      </w:pPr>
      <w:r w:rsidRPr="00E336F0">
        <w:rPr>
          <w:b/>
          <w:lang w:val="ru-RU"/>
        </w:rPr>
        <w:t>ЦІНА ТОВАРУ</w:t>
      </w:r>
    </w:p>
    <w:p w:rsidR="00DD03E6" w:rsidRPr="00E336F0" w:rsidRDefault="00DD03E6" w:rsidP="00DD03E6">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D03E6" w:rsidRPr="00E336F0" w:rsidRDefault="00DD03E6" w:rsidP="00DD03E6">
      <w:pPr>
        <w:numPr>
          <w:ilvl w:val="1"/>
          <w:numId w:val="1"/>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D03E6" w:rsidRPr="00E336F0" w:rsidRDefault="00DD03E6" w:rsidP="00DD03E6">
      <w:pPr>
        <w:rPr>
          <w:b/>
          <w:lang w:val="ru-RU"/>
        </w:rPr>
      </w:pPr>
    </w:p>
    <w:p w:rsidR="00DD03E6" w:rsidRPr="00E336F0" w:rsidRDefault="00DD03E6" w:rsidP="00DD03E6">
      <w:pPr>
        <w:numPr>
          <w:ilvl w:val="0"/>
          <w:numId w:val="1"/>
        </w:numPr>
        <w:jc w:val="center"/>
        <w:rPr>
          <w:b/>
          <w:lang w:val="ru-RU"/>
        </w:rPr>
      </w:pPr>
      <w:r w:rsidRPr="00E336F0">
        <w:rPr>
          <w:b/>
          <w:lang w:val="ru-RU"/>
        </w:rPr>
        <w:t>УМОВИ РОЗРАХУНКУ</w:t>
      </w:r>
    </w:p>
    <w:p w:rsidR="00DD03E6" w:rsidRPr="00E336F0" w:rsidRDefault="00DD03E6" w:rsidP="00DD03E6">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F14533">
        <w:rPr>
          <w:b/>
          <w:lang w:val="ru-RU"/>
        </w:rPr>
        <w:t xml:space="preserve">10 робочих  </w:t>
      </w:r>
      <w:r w:rsidRPr="00F14533">
        <w:rPr>
          <w:b/>
        </w:rPr>
        <w:t>днів</w:t>
      </w:r>
      <w:r w:rsidRPr="00E336F0">
        <w:rPr>
          <w:lang w:val="ru-RU"/>
        </w:rPr>
        <w:t xml:space="preserve"> з моменту поставки товарів. </w:t>
      </w:r>
    </w:p>
    <w:p w:rsidR="00DD03E6" w:rsidRPr="00E336F0" w:rsidRDefault="00DD03E6" w:rsidP="00DD03E6">
      <w:pPr>
        <w:numPr>
          <w:ilvl w:val="1"/>
          <w:numId w:val="1"/>
        </w:numPr>
        <w:tabs>
          <w:tab w:val="left" w:pos="5760"/>
        </w:tabs>
        <w:jc w:val="both"/>
        <w:rPr>
          <w:lang w:val="ru-RU"/>
        </w:rPr>
      </w:pPr>
      <w:r w:rsidRPr="00E336F0">
        <w:rPr>
          <w:lang w:val="ru-RU"/>
        </w:rPr>
        <w:lastRenderedPageBreak/>
        <w:t>У випадку наявності вільних коштів Покупець залишає за собою право здійснювати згідно даного Договору авансові платежі.</w:t>
      </w:r>
    </w:p>
    <w:p w:rsidR="00DD03E6" w:rsidRPr="00E336F0" w:rsidRDefault="00DD03E6" w:rsidP="00DD03E6">
      <w:pPr>
        <w:rPr>
          <w:bCs/>
          <w:lang w:val="ru-RU"/>
        </w:rPr>
      </w:pPr>
    </w:p>
    <w:p w:rsidR="00DD03E6" w:rsidRPr="00E336F0" w:rsidRDefault="00DD03E6" w:rsidP="00DD03E6">
      <w:pPr>
        <w:numPr>
          <w:ilvl w:val="0"/>
          <w:numId w:val="1"/>
        </w:numPr>
        <w:jc w:val="center"/>
        <w:rPr>
          <w:bCs/>
          <w:lang w:val="ru-RU"/>
        </w:rPr>
      </w:pPr>
      <w:r w:rsidRPr="00E336F0">
        <w:rPr>
          <w:b/>
        </w:rPr>
        <w:t>ПОСТАВКА ТОВАРУ</w:t>
      </w:r>
    </w:p>
    <w:p w:rsidR="00DD03E6" w:rsidRPr="00E336F0" w:rsidRDefault="00DD03E6" w:rsidP="00DD03E6">
      <w:pPr>
        <w:numPr>
          <w:ilvl w:val="1"/>
          <w:numId w:val="1"/>
        </w:numPr>
        <w:tabs>
          <w:tab w:val="left" w:pos="5760"/>
        </w:tabs>
        <w:jc w:val="both"/>
        <w:rPr>
          <w:lang w:val="ru-RU"/>
        </w:rPr>
      </w:pPr>
      <w:r w:rsidRPr="00E336F0">
        <w:rPr>
          <w:lang w:val="ru-RU"/>
        </w:rPr>
        <w:t>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w:t>
      </w:r>
      <w:r>
        <w:rPr>
          <w:lang w:val="ru-RU"/>
        </w:rPr>
        <w:t xml:space="preserve"> _________</w:t>
      </w:r>
      <w:r>
        <w:rPr>
          <w:b/>
        </w:rPr>
        <w:t xml:space="preserve"> календарних</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DD03E6" w:rsidRPr="00E336F0" w:rsidRDefault="00DD03E6" w:rsidP="00DD03E6">
      <w:pPr>
        <w:numPr>
          <w:ilvl w:val="1"/>
          <w:numId w:val="1"/>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D03E6" w:rsidRPr="00E336F0" w:rsidRDefault="00DD03E6" w:rsidP="00DD03E6">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D03E6" w:rsidRPr="00E336F0" w:rsidRDefault="00DD03E6" w:rsidP="00DD03E6">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D03E6" w:rsidRPr="00E336F0" w:rsidRDefault="00DD03E6" w:rsidP="00DD03E6">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D03E6" w:rsidRPr="00E336F0" w:rsidRDefault="00DD03E6" w:rsidP="00DD03E6">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DD03E6" w:rsidRPr="00E336F0" w:rsidRDefault="00DD03E6" w:rsidP="00DD03E6">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DD03E6" w:rsidRPr="00E336F0" w:rsidRDefault="00DD03E6" w:rsidP="00DD03E6">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DD03E6" w:rsidRPr="00E336F0" w:rsidRDefault="00DD03E6" w:rsidP="00DD03E6">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D03E6" w:rsidRPr="00E336F0" w:rsidRDefault="00DD03E6" w:rsidP="00DD03E6">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D03E6" w:rsidRPr="00E336F0" w:rsidRDefault="00DD03E6" w:rsidP="00DD03E6">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D03E6" w:rsidRPr="00E336F0" w:rsidRDefault="00DD03E6" w:rsidP="00DD03E6">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D03E6" w:rsidRPr="00E336F0" w:rsidRDefault="00DD03E6" w:rsidP="00DD03E6">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D03E6" w:rsidRPr="00E336F0" w:rsidRDefault="00DD03E6" w:rsidP="00DD03E6">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w:t>
      </w:r>
      <w:r w:rsidRPr="00A14213">
        <w:rPr>
          <w:bCs/>
          <w:lang w:val="ru-RU"/>
        </w:rPr>
        <w:t>перевищує 200 тисяч гривень</w:t>
      </w:r>
      <w:r w:rsidRPr="00E336F0">
        <w:rPr>
          <w:bCs/>
          <w:lang w:val="ru-RU"/>
        </w:rPr>
        <w:t xml:space="preserve">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lang w:val="ru-RU"/>
        </w:rPr>
      </w:pPr>
      <w:r w:rsidRPr="00E336F0">
        <w:rPr>
          <w:b/>
          <w:lang w:val="ru-RU"/>
        </w:rPr>
        <w:t>ЯКІСТЬ ТОВАРУ</w:t>
      </w:r>
    </w:p>
    <w:p w:rsidR="00DD03E6" w:rsidRPr="00E336F0" w:rsidRDefault="00DD03E6" w:rsidP="00DD03E6">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D03E6" w:rsidRPr="00E336F0" w:rsidRDefault="00DD03E6" w:rsidP="00DD03E6">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D03E6" w:rsidRPr="00E336F0" w:rsidRDefault="00DD03E6" w:rsidP="00DD03E6">
      <w:pPr>
        <w:numPr>
          <w:ilvl w:val="1"/>
          <w:numId w:val="1"/>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Pr>
          <w:b/>
        </w:rPr>
        <w:t>14 календарних днів</w:t>
      </w:r>
      <w:r w:rsidRPr="00E336F0">
        <w:t xml:space="preserve"> з моменту письмового звернення (повідомлення) Покупця.</w:t>
      </w:r>
    </w:p>
    <w:p w:rsidR="00DD03E6" w:rsidRPr="00E336F0" w:rsidRDefault="00DD03E6" w:rsidP="00DD03E6">
      <w:pPr>
        <w:numPr>
          <w:ilvl w:val="1"/>
          <w:numId w:val="1"/>
        </w:numPr>
        <w:suppressLineNumbers/>
        <w:jc w:val="both"/>
      </w:pPr>
      <w:r w:rsidRPr="00E336F0">
        <w:lastRenderedPageBreak/>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Pr>
          <w:b/>
        </w:rPr>
        <w:t>14 календарних днів</w:t>
      </w:r>
      <w:r w:rsidRPr="00E336F0">
        <w:t xml:space="preserve"> з моменту письмового звернення (повідомлення) Покупця.</w:t>
      </w:r>
    </w:p>
    <w:p w:rsidR="00DD03E6" w:rsidRPr="00E336F0" w:rsidRDefault="00DD03E6" w:rsidP="00DD03E6">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w:t>
      </w:r>
      <w:r>
        <w:rPr>
          <w:b/>
        </w:rPr>
        <w:t>14 календарних днів</w:t>
      </w:r>
      <w:r w:rsidRPr="00E336F0">
        <w:t xml:space="preserve"> з моменту письмового звернення (повідомлення) Покупця.</w:t>
      </w:r>
    </w:p>
    <w:p w:rsidR="00DD03E6" w:rsidRPr="00E336F0" w:rsidRDefault="00DD03E6" w:rsidP="00DD03E6">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D03E6" w:rsidRPr="00E336F0" w:rsidRDefault="00DD03E6" w:rsidP="00DD03E6">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D03E6" w:rsidRPr="00E336F0" w:rsidRDefault="00DD03E6" w:rsidP="00DD03E6">
      <w:pPr>
        <w:suppressLineNumbers/>
        <w:jc w:val="both"/>
      </w:pPr>
    </w:p>
    <w:p w:rsidR="00DD03E6" w:rsidRPr="00E336F0" w:rsidRDefault="00DD03E6" w:rsidP="00DD03E6">
      <w:pPr>
        <w:numPr>
          <w:ilvl w:val="0"/>
          <w:numId w:val="1"/>
        </w:numPr>
        <w:jc w:val="center"/>
        <w:rPr>
          <w:b/>
        </w:rPr>
      </w:pPr>
      <w:r w:rsidRPr="00E336F0">
        <w:rPr>
          <w:b/>
        </w:rPr>
        <w:t>ПРАВА ТА ОБОВ'ЯЗКИ СТОРІН</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Покупець зобов'язаний: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 Покупець має право:</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D03E6" w:rsidRPr="00E336F0" w:rsidRDefault="00DD03E6" w:rsidP="00DD03E6">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D03E6" w:rsidRPr="00E336F0" w:rsidRDefault="00DD03E6" w:rsidP="00DD03E6">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D03E6" w:rsidRPr="00E336F0" w:rsidRDefault="00DD03E6" w:rsidP="00DD03E6">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D03E6" w:rsidRPr="00E336F0" w:rsidRDefault="00DD03E6" w:rsidP="00DD03E6">
      <w:pPr>
        <w:tabs>
          <w:tab w:val="left" w:pos="0"/>
          <w:tab w:val="left" w:pos="5760"/>
        </w:tabs>
        <w:jc w:val="both"/>
        <w:rPr>
          <w:b/>
          <w:color w:val="C0C0C0"/>
          <w:lang w:val="ru-RU"/>
        </w:rPr>
      </w:pPr>
      <w:r w:rsidRPr="00E336F0">
        <w:rPr>
          <w:b/>
          <w:color w:val="C0C0C0"/>
          <w:lang w:val="ru-RU"/>
        </w:rPr>
        <w:t xml:space="preserve">                                              </w:t>
      </w:r>
    </w:p>
    <w:p w:rsidR="00DD03E6" w:rsidRPr="00E336F0" w:rsidRDefault="00DD03E6" w:rsidP="00DD03E6">
      <w:pPr>
        <w:numPr>
          <w:ilvl w:val="0"/>
          <w:numId w:val="1"/>
        </w:numPr>
        <w:jc w:val="center"/>
        <w:rPr>
          <w:b/>
        </w:rPr>
      </w:pPr>
      <w:r w:rsidRPr="00E336F0">
        <w:rPr>
          <w:b/>
        </w:rPr>
        <w:t>ВІДПОВІДАЛЬНІСТЬ СТОРІН</w:t>
      </w:r>
    </w:p>
    <w:p w:rsidR="00DD03E6" w:rsidRPr="00E336F0" w:rsidRDefault="00DD03E6" w:rsidP="00DD03E6">
      <w:pPr>
        <w:numPr>
          <w:ilvl w:val="1"/>
          <w:numId w:val="1"/>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D03E6" w:rsidRPr="00E336F0" w:rsidRDefault="00DD03E6" w:rsidP="00DD03E6">
      <w:pPr>
        <w:numPr>
          <w:ilvl w:val="1"/>
          <w:numId w:val="1"/>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D03E6" w:rsidRPr="00E336F0" w:rsidRDefault="00DD03E6" w:rsidP="00DD03E6">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D03E6" w:rsidRPr="00E336F0" w:rsidRDefault="00DD03E6" w:rsidP="00DD03E6">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D03E6" w:rsidRPr="00E336F0" w:rsidRDefault="00DD03E6" w:rsidP="00DD03E6">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D03E6" w:rsidRPr="00E336F0" w:rsidRDefault="00DD03E6" w:rsidP="00DD03E6">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D03E6" w:rsidRPr="00E336F0" w:rsidRDefault="00DD03E6" w:rsidP="00DD03E6">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D03E6" w:rsidRPr="00E336F0" w:rsidRDefault="00DD03E6" w:rsidP="00DD03E6">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D03E6" w:rsidRPr="00E336F0" w:rsidRDefault="00DD03E6" w:rsidP="00DD03E6">
      <w:pPr>
        <w:numPr>
          <w:ilvl w:val="1"/>
          <w:numId w:val="1"/>
        </w:numPr>
        <w:tabs>
          <w:tab w:val="left" w:pos="5760"/>
        </w:tabs>
        <w:jc w:val="both"/>
        <w:rPr>
          <w:bCs/>
          <w:lang w:val="ru-RU"/>
        </w:rPr>
      </w:pPr>
      <w:r w:rsidRPr="00E336F0">
        <w:rPr>
          <w:bCs/>
          <w:lang w:val="ru-RU"/>
        </w:rPr>
        <w:lastRenderedPageBreak/>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D03E6" w:rsidRPr="00E336F0" w:rsidRDefault="00DD03E6" w:rsidP="00DD03E6">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D03E6" w:rsidRPr="00E336F0" w:rsidRDefault="00DD03E6" w:rsidP="00DD03E6">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D03E6" w:rsidRPr="00E336F0" w:rsidRDefault="00DD03E6" w:rsidP="00DD03E6">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D03E6" w:rsidRPr="00E336F0" w:rsidRDefault="00DD03E6" w:rsidP="00DD03E6">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D03E6" w:rsidRPr="00E336F0" w:rsidRDefault="00DD03E6" w:rsidP="00DD03E6">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ОБСТАВИНИ НЕПЕРЕБОРНОЇ СИЛИ</w:t>
      </w:r>
    </w:p>
    <w:p w:rsidR="00DD03E6" w:rsidRPr="00E336F0" w:rsidRDefault="00DD03E6" w:rsidP="00DD03E6">
      <w:pPr>
        <w:numPr>
          <w:ilvl w:val="1"/>
          <w:numId w:val="1"/>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D03E6" w:rsidRPr="00E336F0" w:rsidRDefault="00DD03E6" w:rsidP="00DD03E6">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D03E6" w:rsidRPr="00E336F0" w:rsidRDefault="00DD03E6" w:rsidP="00DD03E6">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D03E6" w:rsidRPr="00E336F0" w:rsidRDefault="00DD03E6" w:rsidP="00DD03E6">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ПОРЯДОК ВНЕСЕННЯ ЗМІН ДО ДОГОВОРУ</w:t>
      </w:r>
    </w:p>
    <w:p w:rsidR="00DD03E6" w:rsidRPr="00E336F0" w:rsidRDefault="00DD03E6" w:rsidP="00DD03E6">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D03E6" w:rsidRPr="00E336F0" w:rsidRDefault="00DD03E6" w:rsidP="00DD03E6">
      <w:pPr>
        <w:numPr>
          <w:ilvl w:val="1"/>
          <w:numId w:val="1"/>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D03E6" w:rsidRPr="00E336F0" w:rsidRDefault="00DD03E6" w:rsidP="00DD03E6">
      <w:pPr>
        <w:numPr>
          <w:ilvl w:val="1"/>
          <w:numId w:val="1"/>
        </w:numPr>
        <w:tabs>
          <w:tab w:val="left" w:pos="5760"/>
        </w:tabs>
        <w:jc w:val="both"/>
        <w:rPr>
          <w:bCs/>
          <w:lang w:val="ru-RU"/>
        </w:rPr>
      </w:pPr>
      <w:r w:rsidRPr="00E336F0">
        <w:rPr>
          <w:bCs/>
          <w:lang w:val="ru-RU"/>
        </w:rPr>
        <w:lastRenderedPageBreak/>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D03E6" w:rsidRPr="00E336F0" w:rsidRDefault="00DD03E6" w:rsidP="00DD03E6">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D03E6" w:rsidRPr="00E336F0" w:rsidRDefault="00DD03E6" w:rsidP="00DD03E6">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D03E6" w:rsidRPr="00E336F0" w:rsidRDefault="00DD03E6" w:rsidP="00DD03E6">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D03E6" w:rsidRPr="00E336F0" w:rsidRDefault="00DD03E6" w:rsidP="00DD03E6">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D03E6" w:rsidRPr="00E336F0" w:rsidRDefault="00DD03E6" w:rsidP="00DD03E6">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D03E6" w:rsidRPr="00E336F0" w:rsidRDefault="00DD03E6" w:rsidP="00DD03E6">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D03E6" w:rsidRPr="00E336F0" w:rsidRDefault="00DD03E6" w:rsidP="00DD03E6">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D03E6" w:rsidRPr="00E336F0" w:rsidRDefault="00DD03E6" w:rsidP="00DD03E6">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D03E6" w:rsidRPr="00E336F0" w:rsidRDefault="00DD03E6" w:rsidP="00DD03E6">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03E6" w:rsidRPr="00E336F0" w:rsidRDefault="00DD03E6" w:rsidP="00DD03E6">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D03E6" w:rsidRPr="00E336F0" w:rsidRDefault="00DD03E6" w:rsidP="00DD03E6">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D03E6" w:rsidRPr="00E336F0" w:rsidRDefault="00DD03E6" w:rsidP="00DD03E6">
      <w:pPr>
        <w:jc w:val="both"/>
        <w:rPr>
          <w:bCs/>
          <w:lang w:val="ru-RU"/>
        </w:rPr>
      </w:pPr>
      <w:r w:rsidRPr="00E336F0">
        <w:rPr>
          <w:bCs/>
          <w:lang w:val="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E336F0">
        <w:rPr>
          <w:bCs/>
          <w:lang w:val="ru-RU"/>
        </w:rPr>
        <w:lastRenderedPageBreak/>
        <w:t>а також у зв’язку з зміною системи оподаткування пропорційно до зміни податкового навантаження внаслідок зміни системи оподаткування;</w:t>
      </w:r>
    </w:p>
    <w:p w:rsidR="00DD03E6" w:rsidRPr="00E336F0" w:rsidRDefault="00DD03E6" w:rsidP="00DD03E6">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03E6" w:rsidRPr="00E336F0" w:rsidRDefault="00DD03E6" w:rsidP="00DD03E6">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D03E6" w:rsidRPr="00E336F0" w:rsidRDefault="00DD03E6" w:rsidP="00DD03E6">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D03E6" w:rsidRPr="00E336F0" w:rsidRDefault="00DD03E6" w:rsidP="00DD03E6">
      <w:pPr>
        <w:numPr>
          <w:ilvl w:val="1"/>
          <w:numId w:val="1"/>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D03E6" w:rsidRPr="00E336F0" w:rsidRDefault="00DD03E6" w:rsidP="00DD03E6">
      <w:pPr>
        <w:numPr>
          <w:ilvl w:val="1"/>
          <w:numId w:val="1"/>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ВИРІШЕННЯ СПОРІВ</w:t>
      </w:r>
    </w:p>
    <w:p w:rsidR="00DD03E6" w:rsidRPr="00E336F0" w:rsidRDefault="00DD03E6" w:rsidP="00DD03E6">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D03E6" w:rsidRPr="00E336F0" w:rsidRDefault="00DD03E6" w:rsidP="00DD03E6">
      <w:pPr>
        <w:numPr>
          <w:ilvl w:val="1"/>
          <w:numId w:val="1"/>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D03E6" w:rsidRPr="00E336F0" w:rsidRDefault="00DD03E6" w:rsidP="00DD03E6">
      <w:pPr>
        <w:tabs>
          <w:tab w:val="left" w:pos="5760"/>
        </w:tabs>
        <w:jc w:val="both"/>
        <w:rPr>
          <w:b/>
        </w:rPr>
      </w:pPr>
    </w:p>
    <w:p w:rsidR="00DD03E6" w:rsidRPr="00E336F0" w:rsidRDefault="00DD03E6" w:rsidP="00DD03E6">
      <w:pPr>
        <w:numPr>
          <w:ilvl w:val="0"/>
          <w:numId w:val="1"/>
        </w:numPr>
        <w:jc w:val="center"/>
        <w:rPr>
          <w:b/>
        </w:rPr>
      </w:pPr>
      <w:r w:rsidRPr="00E336F0">
        <w:rPr>
          <w:b/>
        </w:rPr>
        <w:t>СТРОК ДІЇ ДОГОВОРУ</w:t>
      </w:r>
    </w:p>
    <w:p w:rsidR="00DD03E6" w:rsidRPr="00DA57E4" w:rsidRDefault="00DD03E6" w:rsidP="00DD03E6">
      <w:pPr>
        <w:numPr>
          <w:ilvl w:val="1"/>
          <w:numId w:val="1"/>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w:t>
      </w:r>
      <w:r>
        <w:rPr>
          <w:bCs/>
          <w:lang w:val="ru-RU"/>
        </w:rPr>
        <w:t>3</w:t>
      </w:r>
      <w:r w:rsidRPr="00A557C4">
        <w:rPr>
          <w:bCs/>
          <w:lang w:val="ru-RU"/>
        </w:rPr>
        <w:t xml:space="preserve">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DD03E6" w:rsidRPr="00E336F0" w:rsidRDefault="00DD03E6" w:rsidP="00DD03E6">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DD03E6" w:rsidRPr="00E336F0" w:rsidRDefault="00DD03E6" w:rsidP="00DD03E6">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rPr>
      </w:pPr>
      <w:r w:rsidRPr="00E336F0">
        <w:rPr>
          <w:b/>
        </w:rPr>
        <w:t>ІНШІ УМОВИ</w:t>
      </w:r>
    </w:p>
    <w:p w:rsidR="00DD03E6" w:rsidRPr="00E336F0" w:rsidRDefault="00DD03E6" w:rsidP="00DD03E6">
      <w:pPr>
        <w:numPr>
          <w:ilvl w:val="1"/>
          <w:numId w:val="1"/>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D03E6" w:rsidRPr="00E336F0" w:rsidRDefault="00DD03E6" w:rsidP="00DD03E6">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DD03E6" w:rsidRPr="00E336F0" w:rsidRDefault="00DD03E6" w:rsidP="00DD03E6">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DD03E6" w:rsidRPr="00E336F0" w:rsidRDefault="00DD03E6" w:rsidP="00DD03E6">
      <w:pPr>
        <w:tabs>
          <w:tab w:val="left" w:pos="5760"/>
        </w:tabs>
        <w:jc w:val="both"/>
        <w:rPr>
          <w:bCs/>
          <w:lang w:val="ru-RU"/>
        </w:rPr>
      </w:pPr>
    </w:p>
    <w:p w:rsidR="00DD03E6" w:rsidRPr="00E336F0" w:rsidRDefault="00DD03E6" w:rsidP="00DD03E6">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D03E6" w:rsidRPr="00E336F0" w:rsidTr="00DD03E6">
        <w:trPr>
          <w:trHeight w:val="4407"/>
        </w:trPr>
        <w:tc>
          <w:tcPr>
            <w:tcW w:w="5495" w:type="dxa"/>
          </w:tcPr>
          <w:p w:rsidR="00DD03E6" w:rsidRPr="00E336F0" w:rsidRDefault="00DD03E6" w:rsidP="00DD03E6">
            <w:pPr>
              <w:rPr>
                <w:b/>
                <w:lang w:val="ru-RU"/>
              </w:rPr>
            </w:pPr>
            <w:r w:rsidRPr="00E336F0">
              <w:rPr>
                <w:b/>
                <w:lang w:val="ru-RU"/>
              </w:rPr>
              <w:lastRenderedPageBreak/>
              <w:t>Постачальник:</w:t>
            </w:r>
          </w:p>
          <w:p w:rsidR="00DD03E6" w:rsidRPr="00E336F0" w:rsidRDefault="00DD03E6" w:rsidP="00DD03E6">
            <w:pPr>
              <w:rPr>
                <w:b/>
                <w:lang w:val="ru-RU"/>
              </w:rPr>
            </w:pPr>
            <w:r w:rsidRPr="00E336F0">
              <w:rPr>
                <w:b/>
                <w:lang w:val="ru-RU"/>
              </w:rPr>
              <w:t>____________________________</w:t>
            </w:r>
          </w:p>
          <w:p w:rsidR="00DD03E6" w:rsidRPr="00E336F0" w:rsidRDefault="00DD03E6" w:rsidP="00DD03E6">
            <w:pPr>
              <w:rPr>
                <w:b/>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r w:rsidRPr="00E336F0">
              <w:rPr>
                <w:b/>
                <w:lang w:val="ru-RU"/>
              </w:rPr>
              <w:t>____________________________</w:t>
            </w:r>
          </w:p>
          <w:p w:rsidR="00DD03E6" w:rsidRPr="00E336F0" w:rsidRDefault="00DD03E6" w:rsidP="00DD03E6">
            <w:pPr>
              <w:rPr>
                <w:lang w:val="ru-RU"/>
              </w:rPr>
            </w:pPr>
          </w:p>
          <w:p w:rsidR="00DD03E6" w:rsidRPr="00E336F0" w:rsidRDefault="00DD03E6" w:rsidP="00DD03E6">
            <w:pPr>
              <w:rPr>
                <w:b/>
                <w:lang w:val="ru-RU"/>
              </w:rPr>
            </w:pPr>
            <w:r w:rsidRPr="00E336F0">
              <w:rPr>
                <w:b/>
                <w:lang w:val="ru-RU"/>
              </w:rPr>
              <w:t>Директор</w:t>
            </w:r>
          </w:p>
          <w:p w:rsidR="00DD03E6" w:rsidRPr="00E336F0" w:rsidRDefault="00DD03E6" w:rsidP="00DD03E6">
            <w:pPr>
              <w:rPr>
                <w:lang w:val="ru-RU"/>
              </w:rPr>
            </w:pPr>
          </w:p>
          <w:p w:rsidR="00DD03E6" w:rsidRPr="00E336F0" w:rsidRDefault="00DD03E6" w:rsidP="00DD03E6">
            <w:pPr>
              <w:rPr>
                <w:lang w:val="ru-RU"/>
              </w:rPr>
            </w:pPr>
          </w:p>
          <w:p w:rsidR="00DD03E6" w:rsidRPr="00E336F0" w:rsidRDefault="00DD03E6" w:rsidP="00DD03E6">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D03E6" w:rsidRPr="00E336F0" w:rsidRDefault="00DD03E6" w:rsidP="00DD03E6">
            <w:pPr>
              <w:rPr>
                <w:b/>
              </w:rPr>
            </w:pPr>
            <w:r w:rsidRPr="00E336F0">
              <w:rPr>
                <w:b/>
                <w:lang w:val="ru-RU"/>
              </w:rPr>
              <w:t>М.П.</w:t>
            </w:r>
          </w:p>
        </w:tc>
        <w:tc>
          <w:tcPr>
            <w:tcW w:w="4693" w:type="dxa"/>
          </w:tcPr>
          <w:p w:rsidR="00DD03E6" w:rsidRPr="00E336F0" w:rsidRDefault="00DD03E6" w:rsidP="00DD03E6">
            <w:pPr>
              <w:rPr>
                <w:b/>
                <w:lang w:val="ru-RU"/>
              </w:rPr>
            </w:pPr>
            <w:r w:rsidRPr="00E336F0">
              <w:rPr>
                <w:b/>
                <w:lang w:val="ru-RU"/>
              </w:rPr>
              <w:t>Покупець:</w:t>
            </w:r>
          </w:p>
          <w:p w:rsidR="00DD03E6" w:rsidRPr="00E336F0" w:rsidRDefault="00DD03E6" w:rsidP="00DD03E6">
            <w:pPr>
              <w:rPr>
                <w:b/>
                <w:bCs/>
                <w:lang w:val="ru-RU"/>
              </w:rPr>
            </w:pPr>
            <w:r w:rsidRPr="00E336F0">
              <w:rPr>
                <w:b/>
                <w:bCs/>
                <w:lang w:val="ru-RU"/>
              </w:rPr>
              <w:t>АТ «Прикарпаттяобленерго»</w:t>
            </w:r>
          </w:p>
          <w:p w:rsidR="00DD03E6" w:rsidRPr="00E336F0" w:rsidRDefault="00DD03E6" w:rsidP="00DD03E6">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D03E6" w:rsidRPr="00E336F0" w:rsidRDefault="00DD03E6" w:rsidP="00DD03E6">
            <w:pPr>
              <w:rPr>
                <w:lang w:val="ru-RU"/>
              </w:rPr>
            </w:pPr>
            <w:r w:rsidRPr="00E336F0">
              <w:rPr>
                <w:lang w:val="ru-RU"/>
              </w:rPr>
              <w:t>вул. Індустріальна, 34</w:t>
            </w:r>
          </w:p>
          <w:p w:rsidR="00DD03E6" w:rsidRPr="00E336F0" w:rsidRDefault="00DD03E6" w:rsidP="00DD03E6">
            <w:pPr>
              <w:rPr>
                <w:lang w:val="ru-RU"/>
              </w:rPr>
            </w:pPr>
            <w:r w:rsidRPr="00E336F0">
              <w:rPr>
                <w:lang w:val="ru-RU"/>
              </w:rPr>
              <w:t>IBAN UA023365030000026001300018152</w:t>
            </w:r>
          </w:p>
          <w:p w:rsidR="00DD03E6" w:rsidRPr="00E336F0" w:rsidRDefault="00DD03E6" w:rsidP="00DD03E6">
            <w:pPr>
              <w:rPr>
                <w:lang w:val="ru-RU"/>
              </w:rPr>
            </w:pPr>
            <w:r w:rsidRPr="00E336F0">
              <w:rPr>
                <w:lang w:val="ru-RU"/>
              </w:rPr>
              <w:t xml:space="preserve">в ТВБВ 10008/0143 м.Івано-Франківська </w:t>
            </w:r>
          </w:p>
          <w:p w:rsidR="00DD03E6" w:rsidRPr="00E336F0" w:rsidRDefault="00DD03E6" w:rsidP="00DD03E6">
            <w:pPr>
              <w:rPr>
                <w:lang w:val="ru-RU"/>
              </w:rPr>
            </w:pPr>
            <w:r w:rsidRPr="00E336F0">
              <w:rPr>
                <w:lang w:val="ru-RU"/>
              </w:rPr>
              <w:t xml:space="preserve">Філії Івано-Франківське </w:t>
            </w:r>
          </w:p>
          <w:p w:rsidR="00DD03E6" w:rsidRPr="00E336F0" w:rsidRDefault="00DD03E6" w:rsidP="00DD03E6">
            <w:pPr>
              <w:rPr>
                <w:lang w:val="ru-RU"/>
              </w:rPr>
            </w:pPr>
            <w:r w:rsidRPr="00E336F0">
              <w:rPr>
                <w:lang w:val="ru-RU"/>
              </w:rPr>
              <w:t>обласне управління АТ "Ощадбанк"</w:t>
            </w:r>
          </w:p>
          <w:p w:rsidR="00DD03E6" w:rsidRPr="00E336F0" w:rsidRDefault="00DD03E6" w:rsidP="00DD03E6">
            <w:pPr>
              <w:rPr>
                <w:lang w:val="ru-RU"/>
              </w:rPr>
            </w:pPr>
            <w:r w:rsidRPr="00E336F0">
              <w:rPr>
                <w:lang w:val="ru-RU"/>
              </w:rPr>
              <w:t>ЄДРПОУ 00131564</w:t>
            </w:r>
          </w:p>
          <w:p w:rsidR="00DD03E6" w:rsidRPr="00E336F0" w:rsidRDefault="00DD03E6" w:rsidP="00DD03E6">
            <w:pPr>
              <w:rPr>
                <w:lang w:val="ru-RU"/>
              </w:rPr>
            </w:pPr>
            <w:r w:rsidRPr="00E336F0">
              <w:rPr>
                <w:lang w:val="ru-RU"/>
              </w:rPr>
              <w:t>ІПН 001315609158</w:t>
            </w:r>
          </w:p>
          <w:p w:rsidR="00DD03E6" w:rsidRPr="00E336F0" w:rsidRDefault="00DD03E6" w:rsidP="00DD03E6">
            <w:pPr>
              <w:rPr>
                <w:lang w:val="ru-RU"/>
              </w:rPr>
            </w:pPr>
          </w:p>
          <w:p w:rsidR="00DD03E6" w:rsidRPr="00E336F0" w:rsidRDefault="00DD03E6" w:rsidP="00DD03E6">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D03E6" w:rsidRPr="00E336F0" w:rsidRDefault="00DD03E6" w:rsidP="00DD03E6">
            <w:pPr>
              <w:rPr>
                <w:b/>
                <w:lang w:val="ru-RU"/>
              </w:rPr>
            </w:pPr>
          </w:p>
          <w:p w:rsidR="00DD03E6" w:rsidRPr="00E336F0" w:rsidRDefault="00DD03E6" w:rsidP="00DD03E6">
            <w:pPr>
              <w:rPr>
                <w:b/>
                <w:lang w:val="ru-RU"/>
              </w:rPr>
            </w:pPr>
          </w:p>
          <w:p w:rsidR="00DD03E6" w:rsidRPr="00E336F0" w:rsidRDefault="00DD03E6" w:rsidP="00DD03E6">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D03E6" w:rsidRPr="00E336F0" w:rsidRDefault="00DD03E6" w:rsidP="00DD03E6">
            <w:pPr>
              <w:rPr>
                <w:b/>
                <w:lang w:val="en-US"/>
              </w:rPr>
            </w:pPr>
            <w:r w:rsidRPr="00E336F0">
              <w:rPr>
                <w:b/>
                <w:lang w:val="ru-RU"/>
              </w:rPr>
              <w:t>М.П.</w:t>
            </w:r>
          </w:p>
          <w:p w:rsidR="00DD03E6" w:rsidRPr="00E336F0" w:rsidRDefault="00DD03E6" w:rsidP="00DD03E6">
            <w:pPr>
              <w:rPr>
                <w:b/>
              </w:rPr>
            </w:pPr>
          </w:p>
        </w:tc>
      </w:tr>
    </w:tbl>
    <w:p w:rsidR="00DD03E6" w:rsidRPr="00E336F0" w:rsidRDefault="00DD03E6" w:rsidP="00DD03E6">
      <w:pPr>
        <w:jc w:val="center"/>
        <w:rPr>
          <w:b/>
          <w:bCs/>
          <w:lang w:val="ru-RU"/>
        </w:rPr>
      </w:pPr>
    </w:p>
    <w:p w:rsidR="00DD03E6" w:rsidRPr="00E336F0" w:rsidRDefault="00DD03E6" w:rsidP="00DD03E6"/>
    <w:p w:rsidR="00DD03E6" w:rsidRPr="00E336F0" w:rsidRDefault="00DD03E6" w:rsidP="00DD03E6"/>
    <w:p w:rsidR="00792A32" w:rsidRPr="00E336F0" w:rsidRDefault="00792A32" w:rsidP="00792A32">
      <w:pPr>
        <w:jc w:val="center"/>
        <w:rPr>
          <w:b/>
          <w:bCs/>
          <w:lang w:val="ru-RU"/>
        </w:rPr>
      </w:pPr>
    </w:p>
    <w:p w:rsidR="00792A32" w:rsidRPr="00E336F0" w:rsidRDefault="00792A32" w:rsidP="00792A32"/>
    <w:p w:rsidR="00792A32" w:rsidRPr="00E336F0" w:rsidRDefault="00792A32" w:rsidP="00792A3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lastRenderedPageBreak/>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DD03E6" w:rsidRDefault="00DD03E6" w:rsidP="003F5725">
      <w:pPr>
        <w:jc w:val="center"/>
        <w:rPr>
          <w:b/>
          <w:bCs/>
        </w:rPr>
      </w:pPr>
    </w:p>
    <w:tbl>
      <w:tblPr>
        <w:tblW w:w="9671" w:type="dxa"/>
        <w:tblInd w:w="-5" w:type="dxa"/>
        <w:tblLook w:val="04A0" w:firstRow="1" w:lastRow="0" w:firstColumn="1" w:lastColumn="0" w:noHBand="0" w:noVBand="1"/>
      </w:tblPr>
      <w:tblGrid>
        <w:gridCol w:w="439"/>
        <w:gridCol w:w="1164"/>
        <w:gridCol w:w="1789"/>
        <w:gridCol w:w="4761"/>
        <w:gridCol w:w="777"/>
        <w:gridCol w:w="741"/>
      </w:tblGrid>
      <w:tr w:rsidR="00DD03E6" w:rsidTr="00DD03E6">
        <w:trPr>
          <w:trHeight w:val="347"/>
        </w:trPr>
        <w:tc>
          <w:tcPr>
            <w:tcW w:w="43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lang w:eastAsia="uk-UA"/>
              </w:rPr>
            </w:pPr>
            <w:r>
              <w:rPr>
                <w:rFonts w:ascii="Arial" w:hAnsi="Arial" w:cs="Arial"/>
                <w:b/>
                <w:bCs/>
                <w:sz w:val="20"/>
                <w:szCs w:val="20"/>
              </w:rPr>
              <w:t>№</w:t>
            </w:r>
          </w:p>
        </w:tc>
        <w:tc>
          <w:tcPr>
            <w:tcW w:w="1164" w:type="dxa"/>
            <w:tcBorders>
              <w:top w:val="single" w:sz="4" w:space="0" w:color="auto"/>
              <w:left w:val="single" w:sz="4" w:space="0" w:color="auto"/>
              <w:bottom w:val="nil"/>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замовник</w:t>
            </w:r>
          </w:p>
        </w:tc>
        <w:tc>
          <w:tcPr>
            <w:tcW w:w="1789" w:type="dxa"/>
            <w:tcBorders>
              <w:top w:val="single" w:sz="4" w:space="0" w:color="auto"/>
              <w:left w:val="single" w:sz="4" w:space="0" w:color="auto"/>
              <w:bottom w:val="nil"/>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ідентифікатор</w:t>
            </w:r>
          </w:p>
        </w:tc>
        <w:tc>
          <w:tcPr>
            <w:tcW w:w="4761"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Предмет закупівлі</w:t>
            </w:r>
          </w:p>
        </w:tc>
        <w:tc>
          <w:tcPr>
            <w:tcW w:w="777"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Од. вим.</w:t>
            </w:r>
          </w:p>
        </w:tc>
        <w:tc>
          <w:tcPr>
            <w:tcW w:w="741"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К-сть</w:t>
            </w:r>
          </w:p>
        </w:tc>
      </w:tr>
      <w:tr w:rsidR="00DD03E6" w:rsidTr="00DD03E6">
        <w:trPr>
          <w:trHeight w:val="347"/>
        </w:trPr>
        <w:tc>
          <w:tcPr>
            <w:tcW w:w="439"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c>
          <w:tcPr>
            <w:tcW w:w="1164" w:type="dxa"/>
            <w:tcBorders>
              <w:top w:val="nil"/>
              <w:left w:val="single" w:sz="4" w:space="0" w:color="auto"/>
              <w:bottom w:val="single" w:sz="4" w:space="0" w:color="auto"/>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 </w:t>
            </w:r>
          </w:p>
        </w:tc>
        <w:tc>
          <w:tcPr>
            <w:tcW w:w="1789" w:type="dxa"/>
            <w:tcBorders>
              <w:top w:val="nil"/>
              <w:left w:val="single" w:sz="4" w:space="0" w:color="auto"/>
              <w:bottom w:val="single" w:sz="4" w:space="0" w:color="auto"/>
              <w:right w:val="nil"/>
            </w:tcBorders>
            <w:shd w:val="clear" w:color="000000" w:fill="DDEBF7"/>
            <w:vAlign w:val="center"/>
            <w:hideMark/>
          </w:tcPr>
          <w:p w:rsidR="00DD03E6" w:rsidRDefault="00DD03E6">
            <w:pPr>
              <w:jc w:val="center"/>
              <w:rPr>
                <w:rFonts w:ascii="Arial" w:hAnsi="Arial" w:cs="Arial"/>
                <w:b/>
                <w:bCs/>
                <w:sz w:val="20"/>
                <w:szCs w:val="20"/>
              </w:rPr>
            </w:pPr>
            <w:r>
              <w:rPr>
                <w:rFonts w:ascii="Arial" w:hAnsi="Arial" w:cs="Arial"/>
                <w:b/>
                <w:bCs/>
                <w:sz w:val="20"/>
                <w:szCs w:val="20"/>
              </w:rPr>
              <w:t>інвестпрограми</w:t>
            </w:r>
          </w:p>
        </w:tc>
        <w:tc>
          <w:tcPr>
            <w:tcW w:w="4761"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c>
          <w:tcPr>
            <w:tcW w:w="777"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c>
          <w:tcPr>
            <w:tcW w:w="741" w:type="dxa"/>
            <w:vMerge/>
            <w:tcBorders>
              <w:top w:val="single" w:sz="4" w:space="0" w:color="auto"/>
              <w:left w:val="single" w:sz="4" w:space="0" w:color="auto"/>
              <w:bottom w:val="single" w:sz="4" w:space="0" w:color="000000"/>
              <w:right w:val="nil"/>
            </w:tcBorders>
            <w:vAlign w:val="center"/>
            <w:hideMark/>
          </w:tcPr>
          <w:p w:rsidR="00DD03E6" w:rsidRDefault="00DD03E6">
            <w:pPr>
              <w:rPr>
                <w:rFonts w:ascii="Arial" w:hAnsi="Arial" w:cs="Arial"/>
                <w:b/>
                <w:bCs/>
                <w:sz w:val="20"/>
                <w:szCs w:val="20"/>
              </w:rPr>
            </w:pPr>
          </w:p>
        </w:tc>
      </w:tr>
      <w:tr w:rsidR="00DD03E6" w:rsidTr="00DD03E6">
        <w:trPr>
          <w:trHeight w:val="36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3E6" w:rsidRDefault="00DD03E6">
            <w:r>
              <w:t>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DD03E6" w:rsidRDefault="00DD03E6">
            <w:pPr>
              <w:jc w:val="center"/>
              <w:rPr>
                <w:sz w:val="20"/>
                <w:szCs w:val="20"/>
              </w:rPr>
            </w:pPr>
            <w:r>
              <w:rPr>
                <w:sz w:val="20"/>
                <w:szCs w:val="20"/>
              </w:rPr>
              <w:t>СДІЗПЕ</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D03E6" w:rsidRDefault="00DD03E6">
            <w:pPr>
              <w:jc w:val="center"/>
            </w:pPr>
            <w:r>
              <w:t>7.1.9</w:t>
            </w:r>
          </w:p>
        </w:tc>
        <w:tc>
          <w:tcPr>
            <w:tcW w:w="4761" w:type="dxa"/>
            <w:tcBorders>
              <w:top w:val="single" w:sz="4" w:space="0" w:color="auto"/>
              <w:left w:val="nil"/>
              <w:bottom w:val="single" w:sz="4" w:space="0" w:color="auto"/>
              <w:right w:val="single" w:sz="4" w:space="0" w:color="auto"/>
            </w:tcBorders>
            <w:shd w:val="clear" w:color="auto" w:fill="auto"/>
            <w:vAlign w:val="center"/>
            <w:hideMark/>
          </w:tcPr>
          <w:p w:rsidR="00DD03E6" w:rsidRDefault="00DD03E6">
            <w:r>
              <w:t>Газовий хроматограф з додатковим обладнанням або аналог</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DD03E6" w:rsidRDefault="00DD03E6">
            <w:pPr>
              <w:ind w:firstLineChars="100" w:firstLine="200"/>
              <w:rPr>
                <w:rFonts w:ascii="Arial" w:hAnsi="Arial" w:cs="Arial"/>
                <w:color w:val="000000"/>
                <w:sz w:val="20"/>
                <w:szCs w:val="20"/>
              </w:rPr>
            </w:pPr>
            <w:r>
              <w:rPr>
                <w:rFonts w:ascii="Arial" w:hAnsi="Arial" w:cs="Arial"/>
                <w:color w:val="000000"/>
                <w:sz w:val="20"/>
                <w:szCs w:val="20"/>
              </w:rPr>
              <w:t>шт</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DD03E6" w:rsidRDefault="00DD03E6">
            <w:pPr>
              <w:jc w:val="center"/>
              <w:rPr>
                <w:sz w:val="20"/>
                <w:szCs w:val="20"/>
              </w:rPr>
            </w:pPr>
            <w:r>
              <w:rPr>
                <w:sz w:val="20"/>
                <w:szCs w:val="20"/>
              </w:rPr>
              <w:t xml:space="preserve">1 </w:t>
            </w:r>
          </w:p>
        </w:tc>
      </w:tr>
    </w:tbl>
    <w:p w:rsidR="00400092" w:rsidRDefault="00400092" w:rsidP="00400092">
      <w:pPr>
        <w:jc w:val="center"/>
        <w:rPr>
          <w:b/>
          <w:lang w:eastAsia="uk-UA"/>
        </w:rPr>
      </w:pPr>
    </w:p>
    <w:p w:rsidR="00400092" w:rsidRDefault="00400092" w:rsidP="00400092">
      <w:pPr>
        <w:jc w:val="center"/>
        <w:rPr>
          <w:b/>
          <w:lang w:eastAsia="uk-UA"/>
        </w:rPr>
      </w:pPr>
    </w:p>
    <w:p w:rsidR="003B215A" w:rsidRDefault="003B215A" w:rsidP="003B215A">
      <w:pPr>
        <w:tabs>
          <w:tab w:val="center" w:pos="7569"/>
          <w:tab w:val="right" w:pos="15138"/>
        </w:tabs>
        <w:spacing w:after="120"/>
        <w:jc w:val="center"/>
        <w:rPr>
          <w:b/>
          <w:lang w:val="ru-RU"/>
        </w:rPr>
      </w:pPr>
      <w:r w:rsidRPr="00912E8B">
        <w:rPr>
          <w:b/>
          <w:lang w:val="ru-RU"/>
        </w:rPr>
        <w:t>ТЕХНІЧНІ, ЯКІСНІ ТА КІЛЬКІСНІ ХА</w:t>
      </w:r>
      <w:r>
        <w:rPr>
          <w:b/>
          <w:lang w:val="ru-RU"/>
        </w:rPr>
        <w:t>РАКТЕРИСТИКИ ПРЕДМЕТА ЗАКУПІВЛІ</w:t>
      </w:r>
    </w:p>
    <w:tbl>
      <w:tblPr>
        <w:tblStyle w:val="af1"/>
        <w:tblW w:w="9923" w:type="dxa"/>
        <w:tblInd w:w="-714" w:type="dxa"/>
        <w:tblLook w:val="04A0" w:firstRow="1" w:lastRow="0" w:firstColumn="1" w:lastColumn="0" w:noHBand="0" w:noVBand="1"/>
      </w:tblPr>
      <w:tblGrid>
        <w:gridCol w:w="5671"/>
        <w:gridCol w:w="4252"/>
      </w:tblGrid>
      <w:tr w:rsidR="003B215A" w:rsidRPr="00AF502C" w:rsidTr="00FE0152">
        <w:tc>
          <w:tcPr>
            <w:tcW w:w="5671" w:type="dxa"/>
          </w:tcPr>
          <w:p w:rsidR="003B215A" w:rsidRPr="000441F3" w:rsidRDefault="003B215A" w:rsidP="00FE0152">
            <w:pPr>
              <w:rPr>
                <w:b/>
                <w:bCs/>
                <w:sz w:val="28"/>
                <w:szCs w:val="28"/>
              </w:rPr>
            </w:pPr>
            <w:r w:rsidRPr="000441F3">
              <w:rPr>
                <w:b/>
                <w:bCs/>
                <w:sz w:val="28"/>
                <w:szCs w:val="28"/>
              </w:rPr>
              <w:t xml:space="preserve">Параметр </w:t>
            </w:r>
          </w:p>
        </w:tc>
        <w:tc>
          <w:tcPr>
            <w:tcW w:w="4252" w:type="dxa"/>
          </w:tcPr>
          <w:p w:rsidR="003B215A" w:rsidRPr="000441F3" w:rsidRDefault="003B215A" w:rsidP="00FE0152">
            <w:pPr>
              <w:ind w:left="33" w:hanging="33"/>
              <w:rPr>
                <w:b/>
                <w:bCs/>
                <w:sz w:val="28"/>
                <w:szCs w:val="28"/>
              </w:rPr>
            </w:pPr>
            <w:r w:rsidRPr="000441F3">
              <w:rPr>
                <w:b/>
                <w:bCs/>
                <w:sz w:val="28"/>
                <w:szCs w:val="28"/>
              </w:rPr>
              <w:t xml:space="preserve">Значення </w:t>
            </w:r>
          </w:p>
        </w:tc>
      </w:tr>
      <w:tr w:rsidR="003B215A" w:rsidRPr="00AF502C" w:rsidTr="00FE0152">
        <w:tc>
          <w:tcPr>
            <w:tcW w:w="5671" w:type="dxa"/>
          </w:tcPr>
          <w:p w:rsidR="003B215A" w:rsidRPr="000441F3" w:rsidRDefault="003B215A" w:rsidP="003B215A">
            <w:pPr>
              <w:pStyle w:val="af9"/>
              <w:numPr>
                <w:ilvl w:val="0"/>
                <w:numId w:val="16"/>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 xml:space="preserve">Призначення приладу </w:t>
            </w:r>
          </w:p>
        </w:tc>
        <w:tc>
          <w:tcPr>
            <w:tcW w:w="4252" w:type="dxa"/>
          </w:tcPr>
          <w:p w:rsidR="003B215A" w:rsidRDefault="003B215A" w:rsidP="00FE0152">
            <w:pPr>
              <w:ind w:left="33" w:hanging="33"/>
              <w:rPr>
                <w:sz w:val="28"/>
                <w:szCs w:val="28"/>
              </w:rPr>
            </w:pPr>
            <w:r>
              <w:rPr>
                <w:sz w:val="28"/>
                <w:szCs w:val="28"/>
              </w:rPr>
              <w:t>Визначення газового складу трансформаторного мастила шляхом газохроматографічного аналізу рівноважної парової фази</w:t>
            </w:r>
          </w:p>
        </w:tc>
      </w:tr>
      <w:tr w:rsidR="003B215A" w:rsidRPr="00AF502C" w:rsidTr="00FE0152">
        <w:tc>
          <w:tcPr>
            <w:tcW w:w="5671" w:type="dxa"/>
          </w:tcPr>
          <w:p w:rsidR="003B215A" w:rsidRPr="000441F3" w:rsidRDefault="003B215A" w:rsidP="003B215A">
            <w:pPr>
              <w:pStyle w:val="af9"/>
              <w:numPr>
                <w:ilvl w:val="0"/>
                <w:numId w:val="14"/>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 xml:space="preserve">Тип приладу </w:t>
            </w:r>
          </w:p>
        </w:tc>
        <w:tc>
          <w:tcPr>
            <w:tcW w:w="4252" w:type="dxa"/>
          </w:tcPr>
          <w:p w:rsidR="003B215A" w:rsidRPr="00AF502C" w:rsidRDefault="003B215A" w:rsidP="00FE0152">
            <w:pPr>
              <w:rPr>
                <w:sz w:val="28"/>
                <w:szCs w:val="28"/>
              </w:rPr>
            </w:pPr>
            <w:r>
              <w:rPr>
                <w:sz w:val="28"/>
                <w:szCs w:val="28"/>
              </w:rPr>
              <w:t xml:space="preserve">Газовий хроматограф </w:t>
            </w:r>
          </w:p>
        </w:tc>
      </w:tr>
      <w:tr w:rsidR="003B215A" w:rsidRPr="00AF502C" w:rsidTr="00FE0152">
        <w:tc>
          <w:tcPr>
            <w:tcW w:w="5671" w:type="dxa"/>
          </w:tcPr>
          <w:p w:rsidR="003B215A" w:rsidRPr="000441F3" w:rsidRDefault="003B215A" w:rsidP="003B215A">
            <w:pPr>
              <w:pStyle w:val="af9"/>
              <w:numPr>
                <w:ilvl w:val="0"/>
                <w:numId w:val="14"/>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Загальні характеристики</w:t>
            </w:r>
          </w:p>
        </w:tc>
        <w:tc>
          <w:tcPr>
            <w:tcW w:w="4252" w:type="dxa"/>
          </w:tcPr>
          <w:p w:rsidR="003B215A" w:rsidRPr="00AF502C" w:rsidRDefault="003B215A" w:rsidP="00FE0152">
            <w:pPr>
              <w:rPr>
                <w:sz w:val="28"/>
                <w:szCs w:val="28"/>
              </w:rPr>
            </w:pPr>
          </w:p>
        </w:tc>
      </w:tr>
      <w:tr w:rsidR="003B215A" w:rsidRPr="00AF502C" w:rsidTr="00FE0152">
        <w:tc>
          <w:tcPr>
            <w:tcW w:w="5671" w:type="dxa"/>
          </w:tcPr>
          <w:p w:rsidR="003B215A" w:rsidRPr="000441F3" w:rsidRDefault="003B215A" w:rsidP="003B215A">
            <w:pPr>
              <w:pStyle w:val="af9"/>
              <w:numPr>
                <w:ilvl w:val="1"/>
                <w:numId w:val="15"/>
              </w:numPr>
              <w:spacing w:after="0" w:line="240" w:lineRule="auto"/>
              <w:ind w:left="306" w:hanging="283"/>
              <w:rPr>
                <w:rFonts w:ascii="Times New Roman" w:hAnsi="Times New Roman"/>
                <w:sz w:val="28"/>
                <w:szCs w:val="28"/>
              </w:rPr>
            </w:pPr>
            <w:r w:rsidRPr="000441F3">
              <w:rPr>
                <w:rFonts w:ascii="Times New Roman" w:hAnsi="Times New Roman"/>
                <w:sz w:val="28"/>
                <w:szCs w:val="28"/>
              </w:rPr>
              <w:t xml:space="preserve">Максимальна кількість встановлених інжекторів </w:t>
            </w:r>
          </w:p>
        </w:tc>
        <w:tc>
          <w:tcPr>
            <w:tcW w:w="4252" w:type="dxa"/>
          </w:tcPr>
          <w:p w:rsidR="003B215A" w:rsidRPr="00A55360" w:rsidRDefault="003B215A" w:rsidP="00FE0152">
            <w:pPr>
              <w:rPr>
                <w:sz w:val="28"/>
                <w:szCs w:val="28"/>
              </w:rPr>
            </w:pPr>
            <w:r>
              <w:rPr>
                <w:sz w:val="28"/>
                <w:szCs w:val="28"/>
              </w:rPr>
              <w:t>Не менше 2</w:t>
            </w:r>
          </w:p>
        </w:tc>
      </w:tr>
      <w:tr w:rsidR="003B215A" w:rsidRPr="00AF502C" w:rsidTr="00FE0152">
        <w:tc>
          <w:tcPr>
            <w:tcW w:w="5671" w:type="dxa"/>
          </w:tcPr>
          <w:p w:rsidR="003B215A" w:rsidRPr="000441F3" w:rsidRDefault="003B215A" w:rsidP="003B215A">
            <w:pPr>
              <w:pStyle w:val="af9"/>
              <w:numPr>
                <w:ilvl w:val="1"/>
                <w:numId w:val="15"/>
              </w:numPr>
              <w:spacing w:after="0" w:line="240" w:lineRule="auto"/>
              <w:ind w:left="306" w:hanging="283"/>
              <w:rPr>
                <w:rFonts w:ascii="Times New Roman" w:hAnsi="Times New Roman"/>
                <w:sz w:val="28"/>
                <w:szCs w:val="28"/>
              </w:rPr>
            </w:pPr>
            <w:r w:rsidRPr="000441F3">
              <w:rPr>
                <w:rFonts w:ascii="Times New Roman" w:hAnsi="Times New Roman"/>
                <w:sz w:val="28"/>
                <w:szCs w:val="28"/>
              </w:rPr>
              <w:t>Максимальна кількість встановлених детекторів включно з МСД</w:t>
            </w:r>
          </w:p>
        </w:tc>
        <w:tc>
          <w:tcPr>
            <w:tcW w:w="4252" w:type="dxa"/>
          </w:tcPr>
          <w:p w:rsidR="003B215A" w:rsidRPr="00A55360" w:rsidRDefault="003B215A" w:rsidP="00FE0152">
            <w:pPr>
              <w:rPr>
                <w:sz w:val="28"/>
                <w:szCs w:val="28"/>
              </w:rPr>
            </w:pPr>
            <w:r>
              <w:rPr>
                <w:sz w:val="28"/>
                <w:szCs w:val="28"/>
              </w:rPr>
              <w:t>Не менше 4</w:t>
            </w:r>
          </w:p>
        </w:tc>
      </w:tr>
      <w:tr w:rsidR="003B215A" w:rsidRPr="00AF502C" w:rsidTr="00FE0152">
        <w:tc>
          <w:tcPr>
            <w:tcW w:w="5671" w:type="dxa"/>
          </w:tcPr>
          <w:p w:rsidR="003B215A" w:rsidRPr="00AF502C"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Кількість кроків програмованої зміни температури/ізотерм </w:t>
            </w:r>
          </w:p>
        </w:tc>
        <w:tc>
          <w:tcPr>
            <w:tcW w:w="4252" w:type="dxa"/>
          </w:tcPr>
          <w:p w:rsidR="003B215A" w:rsidRPr="00A55360" w:rsidRDefault="003B215A" w:rsidP="00FE0152">
            <w:pPr>
              <w:rPr>
                <w:sz w:val="28"/>
                <w:szCs w:val="28"/>
              </w:rPr>
            </w:pPr>
            <w:r>
              <w:rPr>
                <w:sz w:val="28"/>
                <w:szCs w:val="28"/>
              </w:rPr>
              <w:t>Не менше 25/26</w:t>
            </w:r>
          </w:p>
        </w:tc>
      </w:tr>
      <w:tr w:rsidR="003B215A" w:rsidRPr="00AF502C" w:rsidTr="00FE0152">
        <w:tc>
          <w:tcPr>
            <w:tcW w:w="5671" w:type="dxa"/>
          </w:tcPr>
          <w:p w:rsidR="003B215A" w:rsidRPr="00AF502C"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Тип панелі управління </w:t>
            </w:r>
          </w:p>
        </w:tc>
        <w:tc>
          <w:tcPr>
            <w:tcW w:w="4252" w:type="dxa"/>
          </w:tcPr>
          <w:p w:rsidR="003B215A" w:rsidRPr="00A55360" w:rsidRDefault="003B215A" w:rsidP="00FE0152">
            <w:pPr>
              <w:rPr>
                <w:sz w:val="28"/>
                <w:szCs w:val="28"/>
              </w:rPr>
            </w:pPr>
            <w:r>
              <w:rPr>
                <w:sz w:val="28"/>
                <w:szCs w:val="28"/>
              </w:rPr>
              <w:t>Сенсорний дисплей, діагоналлю не менше 7 дюймів</w:t>
            </w:r>
          </w:p>
        </w:tc>
      </w:tr>
      <w:tr w:rsidR="003B215A" w:rsidRPr="00AF502C" w:rsidTr="00FE0152">
        <w:tc>
          <w:tcPr>
            <w:tcW w:w="5671" w:type="dxa"/>
          </w:tcPr>
          <w:p w:rsidR="003B215A"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Максимальна кількість зон контрольованого нагріву</w:t>
            </w:r>
          </w:p>
        </w:tc>
        <w:tc>
          <w:tcPr>
            <w:tcW w:w="4252" w:type="dxa"/>
          </w:tcPr>
          <w:p w:rsidR="003B215A" w:rsidRDefault="003B215A" w:rsidP="00FE0152">
            <w:pPr>
              <w:rPr>
                <w:sz w:val="28"/>
                <w:szCs w:val="28"/>
              </w:rPr>
            </w:pPr>
            <w:r>
              <w:rPr>
                <w:sz w:val="28"/>
                <w:szCs w:val="28"/>
              </w:rPr>
              <w:t>Не менше 9</w:t>
            </w:r>
          </w:p>
        </w:tc>
      </w:tr>
      <w:tr w:rsidR="003B215A" w:rsidRPr="00AF502C" w:rsidTr="00FE0152">
        <w:tc>
          <w:tcPr>
            <w:tcW w:w="5671" w:type="dxa"/>
          </w:tcPr>
          <w:p w:rsidR="003B215A"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Відтворюваність площ піків</w:t>
            </w:r>
          </w:p>
        </w:tc>
        <w:tc>
          <w:tcPr>
            <w:tcW w:w="4252" w:type="dxa"/>
          </w:tcPr>
          <w:p w:rsidR="003B215A" w:rsidRDefault="003B215A" w:rsidP="00FE0152">
            <w:pPr>
              <w:rPr>
                <w:sz w:val="28"/>
                <w:szCs w:val="28"/>
              </w:rPr>
            </w:pPr>
            <w:r>
              <w:rPr>
                <w:sz w:val="28"/>
                <w:szCs w:val="28"/>
              </w:rPr>
              <w:t xml:space="preserve">Не гірше </w:t>
            </w:r>
            <w:r w:rsidRPr="000441F3">
              <w:rPr>
                <w:sz w:val="28"/>
                <w:szCs w:val="28"/>
              </w:rPr>
              <w:t>&lt;0.5% RSD</w:t>
            </w:r>
          </w:p>
        </w:tc>
      </w:tr>
      <w:tr w:rsidR="003B215A" w:rsidRPr="00AF502C" w:rsidTr="00FE0152">
        <w:tc>
          <w:tcPr>
            <w:tcW w:w="5671" w:type="dxa"/>
          </w:tcPr>
          <w:p w:rsidR="003B215A" w:rsidRPr="000441F3" w:rsidRDefault="003B215A" w:rsidP="003B215A">
            <w:pPr>
              <w:pStyle w:val="af9"/>
              <w:numPr>
                <w:ilvl w:val="0"/>
                <w:numId w:val="15"/>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 xml:space="preserve">Термостат колонок </w:t>
            </w:r>
          </w:p>
        </w:tc>
        <w:tc>
          <w:tcPr>
            <w:tcW w:w="4252" w:type="dxa"/>
          </w:tcPr>
          <w:p w:rsidR="003B215A" w:rsidRPr="00AF502C" w:rsidRDefault="003B215A" w:rsidP="00FE0152">
            <w:pPr>
              <w:rPr>
                <w:sz w:val="28"/>
                <w:szCs w:val="28"/>
              </w:rPr>
            </w:pPr>
          </w:p>
        </w:tc>
      </w:tr>
      <w:tr w:rsidR="003B215A" w:rsidRPr="00AF502C" w:rsidTr="00FE0152">
        <w:tc>
          <w:tcPr>
            <w:tcW w:w="5671" w:type="dxa"/>
          </w:tcPr>
          <w:p w:rsidR="003B215A" w:rsidRPr="00AF502C"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lastRenderedPageBreak/>
              <w:t>Діапазон встановленої температури термостату колонок, без встановлення кріогенного модулю</w:t>
            </w:r>
          </w:p>
        </w:tc>
        <w:tc>
          <w:tcPr>
            <w:tcW w:w="4252" w:type="dxa"/>
          </w:tcPr>
          <w:p w:rsidR="003B215A" w:rsidRPr="00A55360" w:rsidRDefault="003B215A" w:rsidP="00FE0152">
            <w:pPr>
              <w:rPr>
                <w:sz w:val="28"/>
                <w:szCs w:val="28"/>
              </w:rPr>
            </w:pPr>
            <w:r>
              <w:rPr>
                <w:sz w:val="28"/>
                <w:szCs w:val="28"/>
              </w:rPr>
              <w:t>Не гірше кімнатна +4℃ до +450℃</w:t>
            </w:r>
          </w:p>
        </w:tc>
      </w:tr>
      <w:tr w:rsidR="003B215A" w:rsidRPr="00AF502C" w:rsidTr="00FE0152">
        <w:tc>
          <w:tcPr>
            <w:tcW w:w="5671" w:type="dxa"/>
          </w:tcPr>
          <w:p w:rsidR="003B215A" w:rsidRPr="00AF502C"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Роздільна здатність встановлення температури термостату колонок </w:t>
            </w:r>
          </w:p>
        </w:tc>
        <w:tc>
          <w:tcPr>
            <w:tcW w:w="4252" w:type="dxa"/>
          </w:tcPr>
          <w:p w:rsidR="003B215A" w:rsidRPr="00A55360" w:rsidRDefault="003B215A" w:rsidP="00FE0152">
            <w:pPr>
              <w:rPr>
                <w:sz w:val="28"/>
                <w:szCs w:val="28"/>
              </w:rPr>
            </w:pPr>
            <w:r>
              <w:rPr>
                <w:sz w:val="28"/>
                <w:szCs w:val="28"/>
              </w:rPr>
              <w:t>Не гірше 0,1℃</w:t>
            </w:r>
          </w:p>
        </w:tc>
      </w:tr>
      <w:tr w:rsidR="003B215A" w:rsidRPr="00AF502C" w:rsidTr="00FE0152">
        <w:tc>
          <w:tcPr>
            <w:tcW w:w="5671" w:type="dxa"/>
          </w:tcPr>
          <w:p w:rsidR="003B215A" w:rsidRPr="00AF502C"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Максимальна швидкість нагріву термостату колонок </w:t>
            </w:r>
          </w:p>
        </w:tc>
        <w:tc>
          <w:tcPr>
            <w:tcW w:w="4252" w:type="dxa"/>
          </w:tcPr>
          <w:p w:rsidR="003B215A" w:rsidRPr="00A55360" w:rsidRDefault="003B215A" w:rsidP="00FE0152">
            <w:pPr>
              <w:rPr>
                <w:sz w:val="28"/>
                <w:szCs w:val="28"/>
              </w:rPr>
            </w:pPr>
            <w:r>
              <w:rPr>
                <w:sz w:val="28"/>
                <w:szCs w:val="28"/>
              </w:rPr>
              <w:t>Не гірше 120℃/хв</w:t>
            </w:r>
          </w:p>
        </w:tc>
      </w:tr>
      <w:tr w:rsidR="003B215A" w:rsidRPr="00AF502C" w:rsidTr="00FE0152">
        <w:tc>
          <w:tcPr>
            <w:tcW w:w="5671" w:type="dxa"/>
          </w:tcPr>
          <w:p w:rsidR="003B215A" w:rsidRPr="00AF502C"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Швидкість охолодження термостату колонок від +450℃ до +50℃</w:t>
            </w:r>
          </w:p>
        </w:tc>
        <w:tc>
          <w:tcPr>
            <w:tcW w:w="4252" w:type="dxa"/>
          </w:tcPr>
          <w:p w:rsidR="003B215A" w:rsidRPr="00A55360" w:rsidRDefault="003B215A" w:rsidP="00FE0152">
            <w:pPr>
              <w:rPr>
                <w:sz w:val="28"/>
                <w:szCs w:val="28"/>
                <w:lang w:val="en-US"/>
              </w:rPr>
            </w:pPr>
            <w:r>
              <w:rPr>
                <w:sz w:val="28"/>
                <w:szCs w:val="28"/>
              </w:rPr>
              <w:t>Не більше 4хв</w:t>
            </w:r>
          </w:p>
        </w:tc>
      </w:tr>
      <w:tr w:rsidR="003B215A" w:rsidRPr="00AF502C" w:rsidTr="00FE0152">
        <w:tc>
          <w:tcPr>
            <w:tcW w:w="5671" w:type="dxa"/>
          </w:tcPr>
          <w:p w:rsidR="003B215A" w:rsidRPr="000441F3" w:rsidRDefault="003B215A" w:rsidP="003B215A">
            <w:pPr>
              <w:pStyle w:val="af9"/>
              <w:numPr>
                <w:ilvl w:val="0"/>
                <w:numId w:val="15"/>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 xml:space="preserve">Детектор </w:t>
            </w:r>
          </w:p>
        </w:tc>
        <w:tc>
          <w:tcPr>
            <w:tcW w:w="4252" w:type="dxa"/>
          </w:tcPr>
          <w:p w:rsidR="003B215A" w:rsidRPr="00AF502C" w:rsidRDefault="003B215A" w:rsidP="00FE0152">
            <w:pPr>
              <w:rPr>
                <w:sz w:val="28"/>
                <w:szCs w:val="28"/>
              </w:rPr>
            </w:pPr>
          </w:p>
        </w:tc>
      </w:tr>
      <w:tr w:rsidR="003B215A" w:rsidRPr="00AF502C" w:rsidTr="00FE0152">
        <w:tc>
          <w:tcPr>
            <w:tcW w:w="5671" w:type="dxa"/>
          </w:tcPr>
          <w:p w:rsidR="003B215A" w:rsidRPr="00A5536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Кількість встановлених детекторів  </w:t>
            </w:r>
          </w:p>
        </w:tc>
        <w:tc>
          <w:tcPr>
            <w:tcW w:w="4252" w:type="dxa"/>
          </w:tcPr>
          <w:p w:rsidR="003B215A" w:rsidRPr="00A55360" w:rsidRDefault="003B215A" w:rsidP="00FE0152">
            <w:pPr>
              <w:rPr>
                <w:sz w:val="28"/>
                <w:szCs w:val="28"/>
              </w:rPr>
            </w:pPr>
            <w:r>
              <w:rPr>
                <w:sz w:val="28"/>
                <w:szCs w:val="28"/>
              </w:rPr>
              <w:t>Не менше 2</w:t>
            </w:r>
          </w:p>
        </w:tc>
      </w:tr>
      <w:tr w:rsidR="003B215A" w:rsidRPr="00AF502C" w:rsidTr="00FE0152">
        <w:tc>
          <w:tcPr>
            <w:tcW w:w="5671" w:type="dxa"/>
          </w:tcPr>
          <w:p w:rsidR="003B215A" w:rsidRPr="00A5536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Метанайзер</w:t>
            </w:r>
          </w:p>
        </w:tc>
        <w:tc>
          <w:tcPr>
            <w:tcW w:w="4252" w:type="dxa"/>
          </w:tcPr>
          <w:p w:rsidR="003B215A" w:rsidRPr="00A55360" w:rsidRDefault="003B215A" w:rsidP="00FE0152">
            <w:pPr>
              <w:rPr>
                <w:sz w:val="28"/>
                <w:szCs w:val="28"/>
              </w:rPr>
            </w:pPr>
            <w:r>
              <w:rPr>
                <w:sz w:val="28"/>
                <w:szCs w:val="28"/>
              </w:rPr>
              <w:t>Наявність</w:t>
            </w:r>
          </w:p>
        </w:tc>
      </w:tr>
      <w:tr w:rsidR="003B215A" w:rsidRPr="00AF502C" w:rsidTr="00FE0152">
        <w:tc>
          <w:tcPr>
            <w:tcW w:w="5671" w:type="dxa"/>
          </w:tcPr>
          <w:p w:rsidR="003B215A" w:rsidRPr="00A5536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Тип встановлених детекторів </w:t>
            </w:r>
          </w:p>
        </w:tc>
        <w:tc>
          <w:tcPr>
            <w:tcW w:w="4252" w:type="dxa"/>
          </w:tcPr>
          <w:p w:rsidR="003B215A" w:rsidRPr="00A55360" w:rsidRDefault="003B215A" w:rsidP="00FE0152">
            <w:pPr>
              <w:rPr>
                <w:sz w:val="28"/>
                <w:szCs w:val="28"/>
              </w:rPr>
            </w:pPr>
            <w:r>
              <w:rPr>
                <w:sz w:val="28"/>
                <w:szCs w:val="28"/>
              </w:rPr>
              <w:t>ДТП, ПІД з метанайзером</w:t>
            </w:r>
          </w:p>
        </w:tc>
      </w:tr>
      <w:tr w:rsidR="003B215A" w:rsidRPr="00AF502C" w:rsidTr="00FE0152">
        <w:tc>
          <w:tcPr>
            <w:tcW w:w="5671" w:type="dxa"/>
          </w:tcPr>
          <w:p w:rsidR="003B215A" w:rsidRPr="00A5536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Лінійний динамічний діапазон ПІД</w:t>
            </w:r>
          </w:p>
        </w:tc>
        <w:tc>
          <w:tcPr>
            <w:tcW w:w="4252" w:type="dxa"/>
          </w:tcPr>
          <w:p w:rsidR="003B215A" w:rsidRPr="00A55360" w:rsidRDefault="003B215A" w:rsidP="00FE0152">
            <w:pPr>
              <w:rPr>
                <w:sz w:val="28"/>
                <w:szCs w:val="28"/>
              </w:rPr>
            </w:pPr>
            <w:r>
              <w:rPr>
                <w:sz w:val="28"/>
                <w:szCs w:val="28"/>
              </w:rPr>
              <w:t>Не гірше 10</w:t>
            </w:r>
            <w:r w:rsidRPr="00A55360">
              <w:rPr>
                <w:sz w:val="28"/>
                <w:szCs w:val="28"/>
                <w:vertAlign w:val="superscript"/>
              </w:rPr>
              <w:t>7</w:t>
            </w:r>
          </w:p>
        </w:tc>
      </w:tr>
      <w:tr w:rsidR="003B215A" w:rsidRPr="00AF502C" w:rsidTr="00FE0152">
        <w:tc>
          <w:tcPr>
            <w:tcW w:w="5671" w:type="dxa"/>
          </w:tcPr>
          <w:p w:rsidR="003B215A" w:rsidRPr="00A5536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Мінімальна межа виявлення ПІД</w:t>
            </w:r>
          </w:p>
        </w:tc>
        <w:tc>
          <w:tcPr>
            <w:tcW w:w="4252" w:type="dxa"/>
          </w:tcPr>
          <w:p w:rsidR="003B215A" w:rsidRPr="00A55360" w:rsidRDefault="003B215A" w:rsidP="00FE0152">
            <w:pPr>
              <w:rPr>
                <w:sz w:val="28"/>
                <w:szCs w:val="28"/>
              </w:rPr>
            </w:pPr>
            <w:r>
              <w:rPr>
                <w:sz w:val="28"/>
                <w:szCs w:val="28"/>
              </w:rPr>
              <w:t>Не гірше 1,4пг С/сек</w:t>
            </w:r>
          </w:p>
        </w:tc>
      </w:tr>
      <w:tr w:rsidR="003B215A" w:rsidRPr="00AF502C" w:rsidTr="00FE0152">
        <w:tc>
          <w:tcPr>
            <w:tcW w:w="5671" w:type="dxa"/>
          </w:tcPr>
          <w:p w:rsidR="003B215A" w:rsidRPr="00A5536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Автоматичне запалювання полум’я</w:t>
            </w:r>
          </w:p>
        </w:tc>
        <w:tc>
          <w:tcPr>
            <w:tcW w:w="4252" w:type="dxa"/>
          </w:tcPr>
          <w:p w:rsidR="003B215A" w:rsidRPr="00A55360" w:rsidRDefault="003B215A" w:rsidP="00FE0152">
            <w:pPr>
              <w:rPr>
                <w:sz w:val="28"/>
                <w:szCs w:val="28"/>
              </w:rPr>
            </w:pPr>
            <w:r>
              <w:rPr>
                <w:sz w:val="28"/>
                <w:szCs w:val="28"/>
              </w:rPr>
              <w:t xml:space="preserve">Наявність </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Максимальна температура ПІД детектору </w:t>
            </w:r>
          </w:p>
        </w:tc>
        <w:tc>
          <w:tcPr>
            <w:tcW w:w="4252" w:type="dxa"/>
          </w:tcPr>
          <w:p w:rsidR="003B215A" w:rsidRPr="005410B0" w:rsidRDefault="003B215A" w:rsidP="00FE0152">
            <w:pPr>
              <w:rPr>
                <w:sz w:val="28"/>
                <w:szCs w:val="28"/>
              </w:rPr>
            </w:pPr>
            <w:r>
              <w:rPr>
                <w:sz w:val="28"/>
                <w:szCs w:val="28"/>
              </w:rPr>
              <w:t>Не менше +450℃</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Максимальна температура ДТП детектору</w:t>
            </w:r>
          </w:p>
        </w:tc>
        <w:tc>
          <w:tcPr>
            <w:tcW w:w="4252" w:type="dxa"/>
          </w:tcPr>
          <w:p w:rsidR="003B215A" w:rsidRPr="005410B0" w:rsidRDefault="003B215A" w:rsidP="00FE0152">
            <w:pPr>
              <w:rPr>
                <w:sz w:val="28"/>
                <w:szCs w:val="28"/>
              </w:rPr>
            </w:pPr>
            <w:r>
              <w:rPr>
                <w:sz w:val="28"/>
                <w:szCs w:val="28"/>
              </w:rPr>
              <w:t>Не менше +400℃</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Лінійний діапазон ДТП </w:t>
            </w:r>
          </w:p>
        </w:tc>
        <w:tc>
          <w:tcPr>
            <w:tcW w:w="4252" w:type="dxa"/>
          </w:tcPr>
          <w:p w:rsidR="003B215A" w:rsidRPr="005410B0" w:rsidRDefault="003B215A" w:rsidP="00FE0152">
            <w:pPr>
              <w:rPr>
                <w:sz w:val="28"/>
                <w:szCs w:val="28"/>
              </w:rPr>
            </w:pPr>
            <w:r>
              <w:rPr>
                <w:sz w:val="28"/>
                <w:szCs w:val="28"/>
              </w:rPr>
              <w:t>Не гірше 10</w:t>
            </w:r>
            <w:r w:rsidRPr="005410B0">
              <w:rPr>
                <w:sz w:val="28"/>
                <w:szCs w:val="28"/>
                <w:vertAlign w:val="superscript"/>
              </w:rPr>
              <w:t>5</w:t>
            </w:r>
            <w:r>
              <w:rPr>
                <w:sz w:val="28"/>
                <w:szCs w:val="28"/>
              </w:rPr>
              <w:t xml:space="preserve"> </w:t>
            </w:r>
          </w:p>
        </w:tc>
      </w:tr>
      <w:tr w:rsidR="003B215A" w:rsidRPr="00AF502C" w:rsidTr="00FE0152">
        <w:tc>
          <w:tcPr>
            <w:tcW w:w="5671" w:type="dxa"/>
          </w:tcPr>
          <w:p w:rsidR="003B215A" w:rsidRPr="000441F3" w:rsidRDefault="003B215A" w:rsidP="003B215A">
            <w:pPr>
              <w:pStyle w:val="af9"/>
              <w:numPr>
                <w:ilvl w:val="0"/>
                <w:numId w:val="15"/>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Інжектор(випаровувач)</w:t>
            </w:r>
          </w:p>
        </w:tc>
        <w:tc>
          <w:tcPr>
            <w:tcW w:w="4252" w:type="dxa"/>
          </w:tcPr>
          <w:p w:rsidR="003B215A" w:rsidRPr="00AF502C" w:rsidRDefault="003B215A" w:rsidP="00FE0152">
            <w:pPr>
              <w:rPr>
                <w:sz w:val="28"/>
                <w:szCs w:val="28"/>
              </w:rPr>
            </w:pP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Кількість встановлених інжекторів</w:t>
            </w:r>
          </w:p>
        </w:tc>
        <w:tc>
          <w:tcPr>
            <w:tcW w:w="4252" w:type="dxa"/>
          </w:tcPr>
          <w:p w:rsidR="003B215A" w:rsidRPr="005410B0" w:rsidRDefault="003B215A" w:rsidP="00FE0152">
            <w:pPr>
              <w:rPr>
                <w:sz w:val="28"/>
                <w:szCs w:val="28"/>
              </w:rPr>
            </w:pPr>
            <w:r>
              <w:rPr>
                <w:sz w:val="28"/>
                <w:szCs w:val="28"/>
              </w:rPr>
              <w:t>Не менше 1</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Тип встановленого інжектору </w:t>
            </w:r>
          </w:p>
        </w:tc>
        <w:tc>
          <w:tcPr>
            <w:tcW w:w="4252" w:type="dxa"/>
          </w:tcPr>
          <w:p w:rsidR="003B215A" w:rsidRPr="005410B0" w:rsidRDefault="003B215A" w:rsidP="00FE0152">
            <w:pPr>
              <w:rPr>
                <w:sz w:val="28"/>
                <w:szCs w:val="28"/>
              </w:rPr>
            </w:pPr>
            <w:r>
              <w:rPr>
                <w:sz w:val="28"/>
                <w:szCs w:val="28"/>
              </w:rPr>
              <w:t>Інжектор з/без поділом потоку</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Максимальна температура інжектору</w:t>
            </w:r>
          </w:p>
        </w:tc>
        <w:tc>
          <w:tcPr>
            <w:tcW w:w="4252" w:type="dxa"/>
          </w:tcPr>
          <w:p w:rsidR="003B215A" w:rsidRPr="005410B0" w:rsidRDefault="003B215A" w:rsidP="00FE0152">
            <w:pPr>
              <w:rPr>
                <w:sz w:val="28"/>
                <w:szCs w:val="28"/>
              </w:rPr>
            </w:pPr>
            <w:r>
              <w:rPr>
                <w:sz w:val="28"/>
                <w:szCs w:val="28"/>
              </w:rPr>
              <w:t>Не гірше +400℃</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Діапазон встановлення коефіцієнту поділу потоку</w:t>
            </w:r>
          </w:p>
        </w:tc>
        <w:tc>
          <w:tcPr>
            <w:tcW w:w="4252" w:type="dxa"/>
          </w:tcPr>
          <w:p w:rsidR="003B215A" w:rsidRPr="005410B0" w:rsidRDefault="003B215A" w:rsidP="00FE0152">
            <w:pPr>
              <w:rPr>
                <w:sz w:val="28"/>
                <w:szCs w:val="28"/>
              </w:rPr>
            </w:pPr>
            <w:r>
              <w:rPr>
                <w:sz w:val="28"/>
                <w:szCs w:val="28"/>
              </w:rPr>
              <w:t>Не гірше 0 – 7500:1</w:t>
            </w:r>
          </w:p>
        </w:tc>
      </w:tr>
      <w:tr w:rsidR="003B215A" w:rsidRPr="00AF502C" w:rsidTr="00FE0152">
        <w:tc>
          <w:tcPr>
            <w:tcW w:w="5671" w:type="dxa"/>
          </w:tcPr>
          <w:p w:rsidR="003B215A" w:rsidRPr="000441F3" w:rsidRDefault="003B215A" w:rsidP="003B215A">
            <w:pPr>
              <w:pStyle w:val="af9"/>
              <w:numPr>
                <w:ilvl w:val="0"/>
                <w:numId w:val="15"/>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Газові крани для перемикання потоку</w:t>
            </w:r>
          </w:p>
        </w:tc>
        <w:tc>
          <w:tcPr>
            <w:tcW w:w="4252" w:type="dxa"/>
          </w:tcPr>
          <w:p w:rsidR="003B215A" w:rsidRPr="00AF502C" w:rsidRDefault="003B215A" w:rsidP="00FE0152">
            <w:pPr>
              <w:rPr>
                <w:sz w:val="28"/>
                <w:szCs w:val="28"/>
              </w:rPr>
            </w:pP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Загальна кількість встановлених кранів</w:t>
            </w:r>
          </w:p>
        </w:tc>
        <w:tc>
          <w:tcPr>
            <w:tcW w:w="4252" w:type="dxa"/>
          </w:tcPr>
          <w:p w:rsidR="003B215A" w:rsidRPr="005410B0" w:rsidRDefault="003B215A" w:rsidP="00FE0152">
            <w:pPr>
              <w:rPr>
                <w:sz w:val="28"/>
                <w:szCs w:val="28"/>
              </w:rPr>
            </w:pPr>
            <w:r>
              <w:rPr>
                <w:sz w:val="28"/>
                <w:szCs w:val="28"/>
              </w:rPr>
              <w:t>Не менше 1</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Тип встановленого крану</w:t>
            </w:r>
          </w:p>
        </w:tc>
        <w:tc>
          <w:tcPr>
            <w:tcW w:w="4252" w:type="dxa"/>
          </w:tcPr>
          <w:p w:rsidR="003B215A" w:rsidRPr="005410B0" w:rsidRDefault="003B215A" w:rsidP="00FE0152">
            <w:pPr>
              <w:rPr>
                <w:sz w:val="28"/>
                <w:szCs w:val="28"/>
              </w:rPr>
            </w:pPr>
            <w:r>
              <w:rPr>
                <w:sz w:val="28"/>
                <w:szCs w:val="28"/>
              </w:rPr>
              <w:t>Автоматичний газовий кран для перемикання потоків 2-х позиційний, 6-ти портовий</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Тип актуатору автоматичного газового крану перемикання потоків</w:t>
            </w:r>
          </w:p>
        </w:tc>
        <w:tc>
          <w:tcPr>
            <w:tcW w:w="4252" w:type="dxa"/>
          </w:tcPr>
          <w:p w:rsidR="003B215A" w:rsidRPr="005410B0" w:rsidRDefault="003B215A" w:rsidP="00FE0152">
            <w:pPr>
              <w:rPr>
                <w:sz w:val="28"/>
                <w:szCs w:val="28"/>
              </w:rPr>
            </w:pPr>
            <w:r>
              <w:rPr>
                <w:sz w:val="28"/>
                <w:szCs w:val="28"/>
              </w:rPr>
              <w:t>Мікроелектронний або електронний</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Максимальна робоча температура газового крану</w:t>
            </w:r>
          </w:p>
        </w:tc>
        <w:tc>
          <w:tcPr>
            <w:tcW w:w="4252" w:type="dxa"/>
          </w:tcPr>
          <w:p w:rsidR="003B215A" w:rsidRPr="005410B0" w:rsidRDefault="003B215A" w:rsidP="00FE0152">
            <w:pPr>
              <w:rPr>
                <w:sz w:val="28"/>
                <w:szCs w:val="28"/>
              </w:rPr>
            </w:pPr>
            <w:r>
              <w:rPr>
                <w:sz w:val="28"/>
                <w:szCs w:val="28"/>
              </w:rPr>
              <w:t>Не гірше +330℃</w:t>
            </w:r>
          </w:p>
        </w:tc>
      </w:tr>
      <w:tr w:rsidR="003B215A" w:rsidRPr="00AF502C" w:rsidTr="00FE0152">
        <w:tc>
          <w:tcPr>
            <w:tcW w:w="5671" w:type="dxa"/>
          </w:tcPr>
          <w:p w:rsidR="003B215A" w:rsidRPr="005410B0" w:rsidRDefault="003B215A" w:rsidP="003B215A">
            <w:pPr>
              <w:pStyle w:val="af9"/>
              <w:numPr>
                <w:ilvl w:val="1"/>
                <w:numId w:val="15"/>
              </w:numPr>
              <w:spacing w:after="0" w:line="240" w:lineRule="auto"/>
              <w:ind w:left="306" w:hanging="283"/>
              <w:rPr>
                <w:rFonts w:ascii="Times New Roman" w:hAnsi="Times New Roman"/>
                <w:sz w:val="28"/>
                <w:szCs w:val="28"/>
              </w:rPr>
            </w:pPr>
            <w:r>
              <w:rPr>
                <w:rFonts w:ascii="Times New Roman" w:hAnsi="Times New Roman"/>
                <w:sz w:val="28"/>
                <w:szCs w:val="28"/>
              </w:rPr>
              <w:t xml:space="preserve">Кількість дозуючих петель в комплекті з автоматичним газовим краном </w:t>
            </w:r>
          </w:p>
        </w:tc>
        <w:tc>
          <w:tcPr>
            <w:tcW w:w="4252" w:type="dxa"/>
          </w:tcPr>
          <w:p w:rsidR="003B215A" w:rsidRPr="005410B0" w:rsidRDefault="003B215A" w:rsidP="00FE0152">
            <w:pPr>
              <w:rPr>
                <w:sz w:val="28"/>
                <w:szCs w:val="28"/>
              </w:rPr>
            </w:pPr>
            <w:r>
              <w:rPr>
                <w:sz w:val="28"/>
                <w:szCs w:val="28"/>
              </w:rPr>
              <w:t>Не менше 1</w:t>
            </w:r>
          </w:p>
        </w:tc>
      </w:tr>
      <w:tr w:rsidR="003B215A" w:rsidRPr="00AF502C" w:rsidTr="00FE0152">
        <w:tc>
          <w:tcPr>
            <w:tcW w:w="5671" w:type="dxa"/>
          </w:tcPr>
          <w:p w:rsidR="003B215A" w:rsidRPr="000441F3" w:rsidRDefault="003B215A" w:rsidP="003B215A">
            <w:pPr>
              <w:pStyle w:val="af9"/>
              <w:numPr>
                <w:ilvl w:val="0"/>
                <w:numId w:val="15"/>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 xml:space="preserve">Комплект поставки обладнання </w:t>
            </w:r>
          </w:p>
        </w:tc>
        <w:tc>
          <w:tcPr>
            <w:tcW w:w="4252" w:type="dxa"/>
          </w:tcPr>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Газовий хроматограф у виконанні згідно пунктів 1-6 даного технічного завдання – 1шт.</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Інсталяційний комплект для встановлення та вводу в експлуатацію хроматографічного комплексу – 1 компл.</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Редуктор одноступеневий для особливо чистих газів – 1шт.</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lastRenderedPageBreak/>
              <w:t>Редуктор двоступеневий для особливо чистих газів – 1шт.</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Автоматичний дозатор для введення парової фази – 1шт.</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Програмне забезпечення для управління хроматографічним комплектом та автоматичним дозатором – 1шт.</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Аналітичні колонки – 1 компл.</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Робоча станція для управління хроматографічним комплексом у складі ПК, монітор, принтер – 1 компл.</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Лабораторний генератор водню для газового живлення ПІД детектору – 1 компл.</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Компресор безмасляний для газового живлення ПІД детектору – 1 компл.</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Фільтр потрійний для газу носію – 1шт.</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Фільтри для супутніх газів ПІД детектору – 1 компл.</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Віали скляні для парофазного автодозатору – 100шт.</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Кришки обжим</w:t>
            </w:r>
            <w:r>
              <w:rPr>
                <w:rFonts w:ascii="Times New Roman" w:hAnsi="Times New Roman"/>
                <w:sz w:val="28"/>
                <w:szCs w:val="28"/>
              </w:rPr>
              <w:t>н</w:t>
            </w:r>
            <w:r w:rsidRPr="00B0269C">
              <w:rPr>
                <w:rFonts w:ascii="Times New Roman" w:hAnsi="Times New Roman"/>
                <w:sz w:val="28"/>
                <w:szCs w:val="28"/>
              </w:rPr>
              <w:t>і з септами для парофазного автодозатору – 100шт.</w:t>
            </w:r>
          </w:p>
          <w:p w:rsidR="003B215A" w:rsidRPr="00B0269C" w:rsidRDefault="003B215A" w:rsidP="003B215A">
            <w:pPr>
              <w:pStyle w:val="af9"/>
              <w:numPr>
                <w:ilvl w:val="0"/>
                <w:numId w:val="12"/>
              </w:numPr>
              <w:spacing w:after="0" w:line="240" w:lineRule="auto"/>
              <w:ind w:left="0" w:firstLine="0"/>
              <w:rPr>
                <w:rFonts w:ascii="Times New Roman" w:hAnsi="Times New Roman"/>
                <w:sz w:val="28"/>
                <w:szCs w:val="28"/>
              </w:rPr>
            </w:pPr>
            <w:r w:rsidRPr="00B0269C">
              <w:rPr>
                <w:rFonts w:ascii="Times New Roman" w:hAnsi="Times New Roman"/>
                <w:sz w:val="28"/>
                <w:szCs w:val="28"/>
              </w:rPr>
              <w:t>Ручний обтискний інструмент для кришок парофазних віал – 1шт.</w:t>
            </w:r>
          </w:p>
        </w:tc>
      </w:tr>
      <w:tr w:rsidR="003B215A" w:rsidRPr="00AF502C" w:rsidTr="00FE0152">
        <w:tc>
          <w:tcPr>
            <w:tcW w:w="5671" w:type="dxa"/>
          </w:tcPr>
          <w:p w:rsidR="003B215A" w:rsidRPr="000441F3" w:rsidRDefault="003B215A" w:rsidP="003B215A">
            <w:pPr>
              <w:pStyle w:val="af9"/>
              <w:numPr>
                <w:ilvl w:val="0"/>
                <w:numId w:val="15"/>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lastRenderedPageBreak/>
              <w:t>Супутня документація, що надається в складі поставки обладна</w:t>
            </w:r>
            <w:bookmarkStart w:id="4" w:name="_GoBack"/>
            <w:bookmarkEnd w:id="4"/>
            <w:r w:rsidRPr="000441F3">
              <w:rPr>
                <w:rFonts w:ascii="Times New Roman" w:hAnsi="Times New Roman"/>
                <w:b/>
                <w:bCs/>
                <w:sz w:val="28"/>
                <w:szCs w:val="28"/>
              </w:rPr>
              <w:t xml:space="preserve">ння </w:t>
            </w:r>
          </w:p>
        </w:tc>
        <w:tc>
          <w:tcPr>
            <w:tcW w:w="4252" w:type="dxa"/>
          </w:tcPr>
          <w:p w:rsidR="003B215A" w:rsidRPr="00B0269C" w:rsidRDefault="003B215A" w:rsidP="003B215A">
            <w:pPr>
              <w:pStyle w:val="af9"/>
              <w:numPr>
                <w:ilvl w:val="0"/>
                <w:numId w:val="13"/>
              </w:numPr>
              <w:spacing w:after="0" w:line="240" w:lineRule="auto"/>
              <w:rPr>
                <w:rFonts w:ascii="Times New Roman" w:hAnsi="Times New Roman"/>
                <w:sz w:val="28"/>
                <w:szCs w:val="28"/>
              </w:rPr>
            </w:pPr>
            <w:r>
              <w:rPr>
                <w:rFonts w:ascii="Times New Roman" w:hAnsi="Times New Roman"/>
                <w:sz w:val="28"/>
                <w:szCs w:val="28"/>
              </w:rPr>
              <w:t xml:space="preserve">Декларація про відповідність 94 технічному регламенту за модулем </w:t>
            </w:r>
            <w:r>
              <w:rPr>
                <w:rFonts w:ascii="Times New Roman" w:hAnsi="Times New Roman"/>
                <w:sz w:val="28"/>
                <w:szCs w:val="28"/>
                <w:lang w:val="en-US"/>
              </w:rPr>
              <w:t>F</w:t>
            </w:r>
          </w:p>
          <w:p w:rsidR="003B215A" w:rsidRDefault="003B215A" w:rsidP="003B215A">
            <w:pPr>
              <w:pStyle w:val="af9"/>
              <w:numPr>
                <w:ilvl w:val="0"/>
                <w:numId w:val="13"/>
              </w:numPr>
              <w:spacing w:after="0" w:line="240" w:lineRule="auto"/>
              <w:rPr>
                <w:rFonts w:ascii="Times New Roman" w:hAnsi="Times New Roman"/>
                <w:sz w:val="28"/>
                <w:szCs w:val="28"/>
              </w:rPr>
            </w:pPr>
            <w:r>
              <w:rPr>
                <w:rFonts w:ascii="Times New Roman" w:hAnsi="Times New Roman"/>
                <w:sz w:val="28"/>
                <w:szCs w:val="28"/>
              </w:rPr>
              <w:t>Настанова з експлуатації державною мовою</w:t>
            </w:r>
          </w:p>
          <w:p w:rsidR="003B215A" w:rsidRDefault="003B215A" w:rsidP="003B215A">
            <w:pPr>
              <w:pStyle w:val="af9"/>
              <w:numPr>
                <w:ilvl w:val="0"/>
                <w:numId w:val="13"/>
              </w:numPr>
              <w:spacing w:after="0" w:line="240" w:lineRule="auto"/>
              <w:rPr>
                <w:rFonts w:ascii="Times New Roman" w:hAnsi="Times New Roman"/>
                <w:sz w:val="28"/>
                <w:szCs w:val="28"/>
              </w:rPr>
            </w:pPr>
            <w:r>
              <w:rPr>
                <w:rFonts w:ascii="Times New Roman" w:hAnsi="Times New Roman"/>
                <w:sz w:val="28"/>
                <w:szCs w:val="28"/>
              </w:rPr>
              <w:t>Акт проведення пуско-налагоджувальних робіт та базового навчання персоналу</w:t>
            </w:r>
          </w:p>
          <w:p w:rsidR="003B215A" w:rsidRDefault="003B215A" w:rsidP="003B215A">
            <w:pPr>
              <w:pStyle w:val="af9"/>
              <w:numPr>
                <w:ilvl w:val="0"/>
                <w:numId w:val="13"/>
              </w:numPr>
              <w:spacing w:after="0" w:line="240" w:lineRule="auto"/>
              <w:rPr>
                <w:rFonts w:ascii="Times New Roman" w:hAnsi="Times New Roman"/>
                <w:sz w:val="28"/>
                <w:szCs w:val="28"/>
              </w:rPr>
            </w:pPr>
            <w:r>
              <w:rPr>
                <w:rFonts w:ascii="Times New Roman" w:hAnsi="Times New Roman"/>
                <w:sz w:val="28"/>
                <w:szCs w:val="28"/>
              </w:rPr>
              <w:t>Гарантійний талон терміном дії не менше 12 місяців з дати поставки</w:t>
            </w:r>
          </w:p>
          <w:p w:rsidR="003B215A" w:rsidRPr="00B0269C" w:rsidRDefault="003B215A" w:rsidP="003B215A">
            <w:pPr>
              <w:pStyle w:val="af9"/>
              <w:numPr>
                <w:ilvl w:val="0"/>
                <w:numId w:val="13"/>
              </w:numPr>
              <w:spacing w:after="0" w:line="240" w:lineRule="auto"/>
              <w:rPr>
                <w:rFonts w:ascii="Times New Roman" w:hAnsi="Times New Roman"/>
                <w:sz w:val="28"/>
                <w:szCs w:val="28"/>
              </w:rPr>
            </w:pPr>
            <w:r>
              <w:rPr>
                <w:rFonts w:ascii="Times New Roman" w:hAnsi="Times New Roman"/>
                <w:sz w:val="28"/>
                <w:szCs w:val="28"/>
              </w:rPr>
              <w:t>Виготовлення не пізніше 2022 року.</w:t>
            </w:r>
          </w:p>
        </w:tc>
      </w:tr>
    </w:tbl>
    <w:p w:rsidR="003B215A" w:rsidRPr="00AF502C" w:rsidRDefault="003B215A" w:rsidP="003B215A">
      <w:pPr>
        <w:rPr>
          <w:sz w:val="28"/>
          <w:szCs w:val="28"/>
        </w:rPr>
      </w:pPr>
    </w:p>
    <w:p w:rsidR="00400092" w:rsidRDefault="00400092" w:rsidP="00400092">
      <w:pPr>
        <w:jc w:val="center"/>
        <w:rPr>
          <w:b/>
          <w:lang w:eastAsia="uk-UA"/>
        </w:rPr>
      </w:pPr>
    </w:p>
    <w:sectPr w:rsidR="00400092" w:rsidSect="003B215A">
      <w:pgSz w:w="11900" w:h="16840"/>
      <w:pgMar w:top="568" w:right="360" w:bottom="360"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73" w:rsidRDefault="001D0973">
      <w:r>
        <w:separator/>
      </w:r>
    </w:p>
  </w:endnote>
  <w:endnote w:type="continuationSeparator" w:id="0">
    <w:p w:rsidR="001D0973" w:rsidRDefault="001D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E6" w:rsidRDefault="00DD03E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D03E6" w:rsidRDefault="00DD03E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E6" w:rsidRDefault="00DD03E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B215A">
      <w:rPr>
        <w:rStyle w:val="a9"/>
        <w:noProof/>
      </w:rPr>
      <w:t>50</w:t>
    </w:r>
    <w:r>
      <w:rPr>
        <w:rStyle w:val="a9"/>
      </w:rPr>
      <w:fldChar w:fldCharType="end"/>
    </w:r>
  </w:p>
  <w:p w:rsidR="00DD03E6" w:rsidRDefault="00DD03E6" w:rsidP="007A4B6C">
    <w:pPr>
      <w:pStyle w:val="a5"/>
      <w:framePr w:wrap="around" w:vAnchor="text" w:hAnchor="margin" w:xAlign="right" w:y="1"/>
      <w:jc w:val="center"/>
      <w:rPr>
        <w:rStyle w:val="a9"/>
      </w:rPr>
    </w:pPr>
  </w:p>
  <w:p w:rsidR="00DD03E6" w:rsidRDefault="00DD03E6" w:rsidP="009B0AC3">
    <w:pPr>
      <w:pStyle w:val="a5"/>
      <w:framePr w:wrap="around" w:vAnchor="text" w:hAnchor="margin" w:y="1"/>
      <w:ind w:right="360"/>
      <w:rPr>
        <w:rStyle w:val="a9"/>
      </w:rPr>
    </w:pPr>
  </w:p>
  <w:p w:rsidR="00DD03E6" w:rsidRDefault="00DD03E6"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73" w:rsidRDefault="001D0973">
      <w:r>
        <w:separator/>
      </w:r>
    </w:p>
  </w:footnote>
  <w:footnote w:type="continuationSeparator" w:id="0">
    <w:p w:rsidR="001D0973" w:rsidRDefault="001D0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6A4D14"/>
    <w:multiLevelType w:val="hybridMultilevel"/>
    <w:tmpl w:val="C6A078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B64F53"/>
    <w:multiLevelType w:val="hybridMultilevel"/>
    <w:tmpl w:val="649C53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C613BA7"/>
    <w:multiLevelType w:val="hybridMultilevel"/>
    <w:tmpl w:val="404870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CC8202F"/>
    <w:multiLevelType w:val="multilevel"/>
    <w:tmpl w:val="9FF869D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3C53DD0"/>
    <w:multiLevelType w:val="hybridMultilevel"/>
    <w:tmpl w:val="9F0060D8"/>
    <w:lvl w:ilvl="0" w:tplc="2000000F">
      <w:start w:val="2"/>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9E27B1"/>
    <w:multiLevelType w:val="multilevel"/>
    <w:tmpl w:val="BFF217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837F20"/>
    <w:multiLevelType w:val="multilevel"/>
    <w:tmpl w:val="8092C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4"/>
  </w:num>
  <w:num w:numId="3">
    <w:abstractNumId w:val="5"/>
  </w:num>
  <w:num w:numId="4">
    <w:abstractNumId w:val="15"/>
  </w:num>
  <w:num w:numId="5">
    <w:abstractNumId w:val="6"/>
  </w:num>
  <w:num w:numId="6">
    <w:abstractNumId w:val="16"/>
  </w:num>
  <w:num w:numId="7">
    <w:abstractNumId w:val="14"/>
  </w:num>
  <w:num w:numId="8">
    <w:abstractNumId w:val="13"/>
  </w:num>
  <w:num w:numId="9">
    <w:abstractNumId w:val="0"/>
  </w:num>
  <w:num w:numId="10">
    <w:abstractNumId w:val="2"/>
  </w:num>
  <w:num w:numId="11">
    <w:abstractNumId w:val="3"/>
  </w:num>
  <w:num w:numId="12">
    <w:abstractNumId w:val="7"/>
  </w:num>
  <w:num w:numId="13">
    <w:abstractNumId w:val="9"/>
  </w:num>
  <w:num w:numId="14">
    <w:abstractNumId w:val="11"/>
  </w:num>
  <w:num w:numId="15">
    <w:abstractNumId w:val="10"/>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01F"/>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397"/>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2EA"/>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973"/>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0C5"/>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677"/>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15A"/>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092"/>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076"/>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3ED"/>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35D"/>
    <w:rsid w:val="00750487"/>
    <w:rsid w:val="00750BB3"/>
    <w:rsid w:val="00750CDE"/>
    <w:rsid w:val="00750F49"/>
    <w:rsid w:val="0075112D"/>
    <w:rsid w:val="007511A6"/>
    <w:rsid w:val="00751391"/>
    <w:rsid w:val="00752383"/>
    <w:rsid w:val="0075272F"/>
    <w:rsid w:val="00752930"/>
    <w:rsid w:val="00753452"/>
    <w:rsid w:val="00753658"/>
    <w:rsid w:val="00753A3D"/>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2F6C"/>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2"/>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6C7D"/>
    <w:rsid w:val="007E6F04"/>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3E2"/>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344"/>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7D6"/>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578D"/>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6C22"/>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3E6"/>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3773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A78"/>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AA2"/>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5B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33031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3E6"/>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character" w:customStyle="1" w:styleId="value">
    <w:name w:val="value"/>
    <w:basedOn w:val="a0"/>
    <w:rsid w:val="00D9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30177564">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8902161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783813105">
      <w:bodyDiv w:val="1"/>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0"/>
          <w:divBdr>
            <w:top w:val="none" w:sz="0" w:space="0" w:color="auto"/>
            <w:left w:val="none" w:sz="0" w:space="0" w:color="auto"/>
            <w:bottom w:val="none" w:sz="0" w:space="0" w:color="auto"/>
            <w:right w:val="none" w:sz="0" w:space="0" w:color="auto"/>
          </w:divBdr>
          <w:divsChild>
            <w:div w:id="709768675">
              <w:marLeft w:val="0"/>
              <w:marRight w:val="0"/>
              <w:marTop w:val="0"/>
              <w:marBottom w:val="0"/>
              <w:divBdr>
                <w:top w:val="none" w:sz="0" w:space="0" w:color="auto"/>
                <w:left w:val="none" w:sz="0" w:space="0" w:color="auto"/>
                <w:bottom w:val="none" w:sz="0" w:space="0" w:color="auto"/>
                <w:right w:val="none" w:sz="0" w:space="0" w:color="auto"/>
              </w:divBdr>
              <w:divsChild>
                <w:div w:id="4646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26855822">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5805541">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0587-9F00-4281-8A21-C4730F39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92321</Words>
  <Characters>52624</Characters>
  <Application>Microsoft Office Word</Application>
  <DocSecurity>0</DocSecurity>
  <Lines>438</Lines>
  <Paragraphs>289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2023-03-16T08:38:00Z</dcterms:created>
  <dcterms:modified xsi:type="dcterms:W3CDTF">2023-03-16T08:38:00Z</dcterms:modified>
</cp:coreProperties>
</file>