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08" w:rsidRPr="005C5F62" w:rsidRDefault="0065231F" w:rsidP="00985F88">
      <w:pPr>
        <w:pStyle w:val="a6"/>
        <w:ind w:left="0"/>
        <w:rPr>
          <w:rFonts w:ascii="Times New Roman" w:hAnsi="Times New Roman"/>
          <w:sz w:val="24"/>
          <w:szCs w:val="24"/>
        </w:rPr>
      </w:pPr>
      <w:r w:rsidRPr="005C5F62">
        <w:rPr>
          <w:rFonts w:ascii="Times New Roman" w:hAnsi="Times New Roman"/>
          <w:sz w:val="24"/>
          <w:szCs w:val="24"/>
        </w:rPr>
        <w:t xml:space="preserve">Преображенська сільська рада </w:t>
      </w:r>
      <w:proofErr w:type="spellStart"/>
      <w:r w:rsidRPr="005C5F62">
        <w:rPr>
          <w:rFonts w:ascii="Times New Roman" w:hAnsi="Times New Roman"/>
          <w:sz w:val="24"/>
          <w:szCs w:val="24"/>
        </w:rPr>
        <w:t>Пологівського</w:t>
      </w:r>
      <w:proofErr w:type="spellEnd"/>
      <w:r w:rsidRPr="005C5F62">
        <w:rPr>
          <w:rFonts w:ascii="Times New Roman" w:hAnsi="Times New Roman"/>
          <w:sz w:val="24"/>
          <w:szCs w:val="24"/>
        </w:rPr>
        <w:t xml:space="preserve"> району Запорізької області</w:t>
      </w:r>
    </w:p>
    <w:p w:rsidR="0065231F" w:rsidRPr="005C5F62" w:rsidRDefault="0065231F" w:rsidP="00985F88">
      <w:pPr>
        <w:pStyle w:val="a6"/>
        <w:ind w:left="0"/>
        <w:rPr>
          <w:rFonts w:ascii="Times New Roman" w:hAnsi="Times New Roman"/>
          <w:sz w:val="24"/>
          <w:szCs w:val="24"/>
        </w:rPr>
      </w:pPr>
    </w:p>
    <w:p w:rsidR="00B27223" w:rsidRPr="005C5F62" w:rsidRDefault="00B27223" w:rsidP="00985F88">
      <w:pPr>
        <w:widowControl w:val="0"/>
        <w:autoSpaceDE w:val="0"/>
        <w:autoSpaceDN w:val="0"/>
        <w:adjustRightInd w:val="0"/>
        <w:ind w:firstLine="426"/>
        <w:jc w:val="center"/>
        <w:rPr>
          <w:b/>
          <w:bCs/>
        </w:rPr>
      </w:pPr>
      <w:r w:rsidRPr="005C5F62">
        <w:rPr>
          <w:b/>
          <w:bCs/>
        </w:rPr>
        <w:t>ПЕРЕЛІК ЗМІН, ЩО ВНОСЯТЬСЯ ДО ТЕНДЕРНОЇ ДОКУМЕНТАЦІЇ</w:t>
      </w:r>
    </w:p>
    <w:p w:rsidR="00B27223" w:rsidRPr="005C5F62" w:rsidRDefault="00B27223" w:rsidP="00985F88">
      <w:pPr>
        <w:widowControl w:val="0"/>
        <w:autoSpaceDE w:val="0"/>
        <w:autoSpaceDN w:val="0"/>
        <w:adjustRightInd w:val="0"/>
        <w:ind w:firstLine="426"/>
        <w:jc w:val="center"/>
        <w:rPr>
          <w:bCs/>
          <w:i/>
        </w:rPr>
      </w:pPr>
      <w:r w:rsidRPr="005C5F62">
        <w:rPr>
          <w:bCs/>
          <w:i/>
        </w:rPr>
        <w:t xml:space="preserve">(згідно з протоколом </w:t>
      </w:r>
      <w:r w:rsidR="00E61F79" w:rsidRPr="005C5F62">
        <w:rPr>
          <w:bCs/>
          <w:i/>
        </w:rPr>
        <w:t>Уповноваженої особи</w:t>
      </w:r>
      <w:r w:rsidRPr="005C5F62">
        <w:rPr>
          <w:bCs/>
          <w:i/>
        </w:rPr>
        <w:t xml:space="preserve"> від </w:t>
      </w:r>
      <w:r w:rsidR="0065231F" w:rsidRPr="005C5F62">
        <w:rPr>
          <w:bCs/>
          <w:i/>
        </w:rPr>
        <w:t>0</w:t>
      </w:r>
      <w:r w:rsidR="004142C9" w:rsidRPr="005C5F62">
        <w:rPr>
          <w:bCs/>
          <w:i/>
        </w:rPr>
        <w:t>3</w:t>
      </w:r>
      <w:r w:rsidRPr="005C5F62">
        <w:rPr>
          <w:bCs/>
          <w:i/>
        </w:rPr>
        <w:t>.</w:t>
      </w:r>
      <w:r w:rsidR="0065231F" w:rsidRPr="005C5F62">
        <w:rPr>
          <w:bCs/>
          <w:i/>
        </w:rPr>
        <w:t>10</w:t>
      </w:r>
      <w:r w:rsidRPr="005C5F62">
        <w:rPr>
          <w:bCs/>
          <w:i/>
        </w:rPr>
        <w:t>.202</w:t>
      </w:r>
      <w:r w:rsidR="00985F88" w:rsidRPr="005C5F62">
        <w:rPr>
          <w:bCs/>
          <w:i/>
        </w:rPr>
        <w:t>3</w:t>
      </w:r>
      <w:r w:rsidRPr="005C5F62">
        <w:rPr>
          <w:bCs/>
          <w:i/>
        </w:rPr>
        <w:t>)</w:t>
      </w:r>
    </w:p>
    <w:p w:rsidR="0065231F" w:rsidRPr="005C5F62" w:rsidRDefault="00B27223" w:rsidP="0065231F">
      <w:pPr>
        <w:widowControl w:val="0"/>
        <w:autoSpaceDE w:val="0"/>
        <w:autoSpaceDN w:val="0"/>
        <w:adjustRightInd w:val="0"/>
        <w:ind w:firstLine="426"/>
        <w:jc w:val="center"/>
        <w:rPr>
          <w:b/>
          <w:bCs/>
        </w:rPr>
      </w:pPr>
      <w:r w:rsidRPr="005C5F62">
        <w:rPr>
          <w:b/>
          <w:bCs/>
        </w:rPr>
        <w:t>по предмету:</w:t>
      </w:r>
      <w:r w:rsidRPr="005C5F62">
        <w:t xml:space="preserve"> </w:t>
      </w:r>
      <w:r w:rsidR="00472709" w:rsidRPr="005C5F62">
        <w:rPr>
          <w:b/>
          <w:bCs/>
        </w:rPr>
        <w:t>«</w:t>
      </w:r>
      <w:r w:rsidR="0065231F" w:rsidRPr="005C5F62">
        <w:rPr>
          <w:b/>
          <w:bCs/>
        </w:rPr>
        <w:t xml:space="preserve">ДК 021:2015, код 09110000-3 - Тверде паливо </w:t>
      </w:r>
    </w:p>
    <w:p w:rsidR="00B27223" w:rsidRPr="005C5F62" w:rsidRDefault="0065231F" w:rsidP="0065231F">
      <w:pPr>
        <w:widowControl w:val="0"/>
        <w:autoSpaceDE w:val="0"/>
        <w:autoSpaceDN w:val="0"/>
        <w:adjustRightInd w:val="0"/>
        <w:ind w:firstLine="426"/>
        <w:jc w:val="center"/>
        <w:rPr>
          <w:b/>
          <w:bCs/>
        </w:rPr>
      </w:pPr>
      <w:r w:rsidRPr="005C5F62">
        <w:rPr>
          <w:b/>
          <w:bCs/>
        </w:rPr>
        <w:t>(Вугілля кам’яне марки Г (Г2) 13-100 або Г (13-100) або еквівалент; брикети (</w:t>
      </w:r>
      <w:proofErr w:type="spellStart"/>
      <w:r w:rsidRPr="005C5F62">
        <w:rPr>
          <w:b/>
          <w:bCs/>
        </w:rPr>
        <w:t>котуни</w:t>
      </w:r>
      <w:proofErr w:type="spellEnd"/>
      <w:r w:rsidRPr="005C5F62">
        <w:rPr>
          <w:b/>
          <w:bCs/>
        </w:rPr>
        <w:t>) на вугільній основі)</w:t>
      </w:r>
      <w:r w:rsidR="00472709" w:rsidRPr="005C5F62">
        <w:rPr>
          <w:b/>
          <w:bCs/>
        </w:rPr>
        <w:t xml:space="preserve">» (ідентифікатор закупівлі </w:t>
      </w:r>
      <w:r w:rsidRPr="005C5F62">
        <w:rPr>
          <w:b/>
          <w:bCs/>
        </w:rPr>
        <w:t>UA-2023-09-29-008396-a</w:t>
      </w:r>
      <w:r w:rsidR="00472709" w:rsidRPr="005C5F62">
        <w:rPr>
          <w:b/>
          <w:bCs/>
        </w:rPr>
        <w:t>)</w:t>
      </w:r>
    </w:p>
    <w:p w:rsidR="00B27223" w:rsidRPr="005C5F62" w:rsidRDefault="00B27223" w:rsidP="00985F88">
      <w:pPr>
        <w:widowControl w:val="0"/>
        <w:autoSpaceDE w:val="0"/>
        <w:autoSpaceDN w:val="0"/>
        <w:adjustRightInd w:val="0"/>
        <w:ind w:firstLine="426"/>
        <w:jc w:val="center"/>
        <w:rPr>
          <w:b/>
          <w:bCs/>
          <w:sz w:val="20"/>
          <w:szCs w:val="20"/>
        </w:rPr>
      </w:pPr>
    </w:p>
    <w:p w:rsidR="000006BC" w:rsidRPr="005C5F62" w:rsidRDefault="00B27223" w:rsidP="000006BC">
      <w:pPr>
        <w:widowControl w:val="0"/>
        <w:autoSpaceDE w:val="0"/>
        <w:autoSpaceDN w:val="0"/>
        <w:adjustRightInd w:val="0"/>
        <w:ind w:firstLine="426"/>
        <w:jc w:val="both"/>
        <w:rPr>
          <w:bCs/>
          <w:i/>
        </w:rPr>
      </w:pPr>
      <w:r w:rsidRPr="005C5F62">
        <w:rPr>
          <w:b/>
          <w:bCs/>
        </w:rPr>
        <w:t xml:space="preserve">Згідно </w:t>
      </w:r>
      <w:r w:rsidR="001D51C1" w:rsidRPr="005C5F62">
        <w:rPr>
          <w:b/>
          <w:bCs/>
        </w:rPr>
        <w:t>пункту 5</w:t>
      </w:r>
      <w:r w:rsidR="000006BC" w:rsidRPr="005C5F62">
        <w:rPr>
          <w:b/>
          <w:bCs/>
        </w:rPr>
        <w:t>4</w:t>
      </w:r>
      <w:r w:rsidRPr="005C5F62">
        <w:rPr>
          <w:b/>
          <w:bCs/>
        </w:rPr>
        <w:t xml:space="preserve"> </w:t>
      </w:r>
      <w:r w:rsidR="001D51C1" w:rsidRPr="005C5F62">
        <w:rPr>
          <w:b/>
          <w:bCs/>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C5F62">
        <w:rPr>
          <w:b/>
          <w:bCs/>
        </w:rPr>
        <w:t xml:space="preserve">: </w:t>
      </w:r>
      <w:r w:rsidRPr="005C5F62">
        <w:rPr>
          <w:bCs/>
          <w:i/>
        </w:rPr>
        <w:t>«</w:t>
      </w:r>
      <w:r w:rsidR="000006BC" w:rsidRPr="005C5F62">
        <w:rPr>
          <w:bCs/>
          <w:i/>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6BC" w:rsidRPr="005C5F62" w:rsidRDefault="000006BC" w:rsidP="000006BC">
      <w:pPr>
        <w:widowControl w:val="0"/>
        <w:autoSpaceDE w:val="0"/>
        <w:autoSpaceDN w:val="0"/>
        <w:adjustRightInd w:val="0"/>
        <w:ind w:firstLine="426"/>
        <w:jc w:val="both"/>
        <w:rPr>
          <w:bCs/>
          <w:i/>
        </w:rPr>
      </w:pPr>
      <w:r w:rsidRPr="005C5F62">
        <w:rPr>
          <w:bCs/>
          <w:i/>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F62">
        <w:rPr>
          <w:bCs/>
          <w:i/>
        </w:rPr>
        <w:t>машинозчитувальному</w:t>
      </w:r>
      <w:proofErr w:type="spellEnd"/>
      <w:r w:rsidRPr="005C5F62">
        <w:rPr>
          <w:bCs/>
          <w:i/>
        </w:rPr>
        <w:t xml:space="preserve"> форматі розміщуються в електронній системі закупівель протягом одного дня з дати прийняття рішення про їх внесення.</w:t>
      </w:r>
    </w:p>
    <w:p w:rsidR="000006BC" w:rsidRPr="005C5F62" w:rsidRDefault="000006BC" w:rsidP="000006BC">
      <w:pPr>
        <w:widowControl w:val="0"/>
        <w:autoSpaceDE w:val="0"/>
        <w:autoSpaceDN w:val="0"/>
        <w:adjustRightInd w:val="0"/>
        <w:ind w:firstLine="426"/>
        <w:jc w:val="both"/>
        <w:rPr>
          <w:bCs/>
          <w:i/>
        </w:rPr>
      </w:pPr>
      <w:r w:rsidRPr="005C5F62">
        <w:rPr>
          <w:bCs/>
          <w:i/>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7223" w:rsidRPr="005C5F62" w:rsidRDefault="000006BC" w:rsidP="000006BC">
      <w:pPr>
        <w:widowControl w:val="0"/>
        <w:autoSpaceDE w:val="0"/>
        <w:autoSpaceDN w:val="0"/>
        <w:adjustRightInd w:val="0"/>
        <w:ind w:firstLine="426"/>
        <w:jc w:val="both"/>
        <w:rPr>
          <w:bCs/>
          <w:i/>
        </w:rPr>
      </w:pPr>
      <w:r w:rsidRPr="005C5F62">
        <w:rPr>
          <w:bCs/>
          <w:i/>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B27223" w:rsidRPr="005C5F62">
        <w:rPr>
          <w:bCs/>
          <w:i/>
        </w:rPr>
        <w:t>».</w:t>
      </w:r>
    </w:p>
    <w:p w:rsidR="0065231F" w:rsidRPr="005C5F62" w:rsidRDefault="00E61F79" w:rsidP="00985F88">
      <w:pPr>
        <w:pStyle w:val="a4"/>
        <w:spacing w:line="240" w:lineRule="auto"/>
        <w:ind w:firstLine="426"/>
        <w:jc w:val="both"/>
        <w:rPr>
          <w:bCs/>
          <w:lang w:val="uk-UA"/>
        </w:rPr>
      </w:pPr>
      <w:r w:rsidRPr="005C5F62">
        <w:rPr>
          <w:bCs/>
          <w:lang w:val="uk-UA"/>
        </w:rPr>
        <w:t>Уповноваженою особою</w:t>
      </w:r>
      <w:r w:rsidR="004A2E10" w:rsidRPr="005C5F62">
        <w:rPr>
          <w:bCs/>
          <w:lang w:val="uk-UA"/>
        </w:rPr>
        <w:t xml:space="preserve"> </w:t>
      </w:r>
      <w:r w:rsidR="004142C9" w:rsidRPr="005C5F62">
        <w:rPr>
          <w:bCs/>
          <w:lang w:val="uk-UA"/>
        </w:rPr>
        <w:t xml:space="preserve">з метою </w:t>
      </w:r>
      <w:r w:rsidR="004D223F" w:rsidRPr="005C5F62">
        <w:rPr>
          <w:bCs/>
          <w:lang w:val="uk-UA"/>
        </w:rPr>
        <w:t xml:space="preserve">виконання рішення АМКУ №16413 -р/пк-пз від 13.10.2023 року (оприлюднено в системі Prozorro 18 жовтня 2023 року 14:38) </w:t>
      </w:r>
      <w:r w:rsidR="004142C9" w:rsidRPr="005C5F62">
        <w:rPr>
          <w:bCs/>
          <w:lang w:val="uk-UA"/>
        </w:rPr>
        <w:t>прийнято рішення виключити</w:t>
      </w:r>
      <w:r w:rsidR="004D223F" w:rsidRPr="005C5F62">
        <w:rPr>
          <w:bCs/>
          <w:lang w:val="uk-UA"/>
        </w:rPr>
        <w:t>/змінити</w:t>
      </w:r>
      <w:r w:rsidR="004142C9" w:rsidRPr="005C5F62">
        <w:rPr>
          <w:bCs/>
          <w:lang w:val="uk-UA"/>
        </w:rPr>
        <w:t xml:space="preserve"> </w:t>
      </w:r>
      <w:r w:rsidR="004D223F" w:rsidRPr="005C5F62">
        <w:rPr>
          <w:bCs/>
          <w:lang w:val="uk-UA"/>
        </w:rPr>
        <w:t xml:space="preserve">наступні </w:t>
      </w:r>
      <w:r w:rsidR="004142C9" w:rsidRPr="005C5F62">
        <w:rPr>
          <w:bCs/>
          <w:lang w:val="uk-UA"/>
        </w:rPr>
        <w:t xml:space="preserve">вимоги </w:t>
      </w:r>
      <w:r w:rsidR="004D223F" w:rsidRPr="005C5F62">
        <w:rPr>
          <w:bCs/>
          <w:lang w:val="uk-UA"/>
        </w:rPr>
        <w:t>з тендерної документації</w:t>
      </w:r>
    </w:p>
    <w:p w:rsidR="00B27223" w:rsidRPr="005C5F62" w:rsidRDefault="00B27223" w:rsidP="0065231F">
      <w:pPr>
        <w:ind w:firstLine="540"/>
        <w:jc w:val="right"/>
        <w:rPr>
          <w:b/>
        </w:rPr>
      </w:pPr>
    </w:p>
    <w:p w:rsidR="00DB3848" w:rsidRPr="005C5F62" w:rsidRDefault="00DB3848" w:rsidP="00985F88">
      <w:pPr>
        <w:ind w:firstLine="284"/>
        <w:jc w:val="both"/>
        <w:rPr>
          <w:b/>
        </w:rPr>
      </w:pPr>
      <w:r w:rsidRPr="005C5F62">
        <w:rPr>
          <w:b/>
        </w:rPr>
        <w:t xml:space="preserve">Перелік змін до </w:t>
      </w:r>
      <w:r w:rsidR="003B3041" w:rsidRPr="005C5F62">
        <w:rPr>
          <w:b/>
        </w:rPr>
        <w:t>тендерної документації</w:t>
      </w:r>
      <w:r w:rsidRPr="005C5F62">
        <w:rPr>
          <w:b/>
        </w:rPr>
        <w:t xml:space="preserve"> у відкритих торгах </w:t>
      </w:r>
      <w:r w:rsidRPr="005C5F62">
        <w:rPr>
          <w:b/>
          <w:bCs/>
        </w:rPr>
        <w:t>(</w:t>
      </w:r>
      <w:r w:rsidR="0065231F" w:rsidRPr="005C5F62">
        <w:rPr>
          <w:b/>
          <w:bCs/>
        </w:rPr>
        <w:t>UA-2023-09-29-008396-a</w:t>
      </w:r>
      <w:r w:rsidR="00472709" w:rsidRPr="005C5F62">
        <w:rPr>
          <w:b/>
          <w:bCs/>
        </w:rPr>
        <w:t>)</w:t>
      </w:r>
      <w:r w:rsidRPr="005C5F62">
        <w:rPr>
          <w:b/>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4"/>
        <w:gridCol w:w="5000"/>
        <w:gridCol w:w="3315"/>
      </w:tblGrid>
      <w:tr w:rsidR="00B27223" w:rsidRPr="005C5F62" w:rsidTr="0065231F">
        <w:trPr>
          <w:tblCellSpacing w:w="15" w:type="dxa"/>
        </w:trPr>
        <w:tc>
          <w:tcPr>
            <w:tcW w:w="0" w:type="auto"/>
            <w:vAlign w:val="center"/>
            <w:hideMark/>
          </w:tcPr>
          <w:p w:rsidR="00B27223" w:rsidRPr="005C5F62" w:rsidRDefault="00B27223" w:rsidP="00985F88">
            <w:pPr>
              <w:rPr>
                <w:lang w:eastAsia="uk-UA"/>
              </w:rPr>
            </w:pPr>
            <w:r w:rsidRPr="005C5F62">
              <w:rPr>
                <w:b/>
                <w:bCs/>
                <w:lang w:eastAsia="uk-UA"/>
              </w:rPr>
              <w:t>Посилання</w:t>
            </w:r>
          </w:p>
        </w:tc>
        <w:tc>
          <w:tcPr>
            <w:tcW w:w="4970" w:type="dxa"/>
            <w:vAlign w:val="center"/>
            <w:hideMark/>
          </w:tcPr>
          <w:p w:rsidR="00B27223" w:rsidRPr="005C5F62" w:rsidRDefault="00B27223" w:rsidP="00985F88">
            <w:pPr>
              <w:rPr>
                <w:lang w:eastAsia="uk-UA"/>
              </w:rPr>
            </w:pPr>
            <w:r w:rsidRPr="005C5F62">
              <w:rPr>
                <w:b/>
                <w:bCs/>
                <w:lang w:eastAsia="uk-UA"/>
              </w:rPr>
              <w:t>Стара редакція тендерної документації</w:t>
            </w:r>
          </w:p>
        </w:tc>
        <w:tc>
          <w:tcPr>
            <w:tcW w:w="3270" w:type="dxa"/>
            <w:vAlign w:val="center"/>
            <w:hideMark/>
          </w:tcPr>
          <w:p w:rsidR="00B27223" w:rsidRPr="005C5F62" w:rsidRDefault="00B27223" w:rsidP="00985F88">
            <w:pPr>
              <w:rPr>
                <w:lang w:eastAsia="uk-UA"/>
              </w:rPr>
            </w:pPr>
            <w:r w:rsidRPr="005C5F62">
              <w:rPr>
                <w:b/>
                <w:bCs/>
                <w:lang w:eastAsia="uk-UA"/>
              </w:rPr>
              <w:t>Нова редакція тендерної документації</w:t>
            </w:r>
          </w:p>
        </w:tc>
      </w:tr>
      <w:tr w:rsidR="00B27223" w:rsidRPr="005C5F62" w:rsidTr="0065231F">
        <w:trPr>
          <w:tblCellSpacing w:w="15" w:type="dxa"/>
        </w:trPr>
        <w:tc>
          <w:tcPr>
            <w:tcW w:w="0" w:type="auto"/>
            <w:vAlign w:val="center"/>
            <w:hideMark/>
          </w:tcPr>
          <w:p w:rsidR="00536CE6" w:rsidRPr="005C5F62" w:rsidRDefault="004D223F" w:rsidP="004142C9">
            <w:pPr>
              <w:rPr>
                <w:sz w:val="20"/>
                <w:szCs w:val="20"/>
                <w:lang w:eastAsia="uk-UA"/>
              </w:rPr>
            </w:pPr>
            <w:r w:rsidRPr="005C5F62">
              <w:rPr>
                <w:sz w:val="20"/>
                <w:szCs w:val="20"/>
                <w:lang w:eastAsia="uk-UA"/>
              </w:rPr>
              <w:t>Частина 6</w:t>
            </w:r>
            <w:r w:rsidRPr="005C5F62">
              <w:t xml:space="preserve"> </w:t>
            </w:r>
            <w:r w:rsidRPr="005C5F62">
              <w:rPr>
                <w:sz w:val="20"/>
                <w:szCs w:val="20"/>
                <w:lang w:eastAsia="uk-UA"/>
              </w:rPr>
              <w:t>Розділу «ІІІ. Інструкція з підготовки тендерної пропозиції»</w:t>
            </w:r>
            <w:r w:rsidR="0065231F" w:rsidRPr="005C5F62">
              <w:rPr>
                <w:sz w:val="20"/>
                <w:szCs w:val="20"/>
                <w:lang w:eastAsia="uk-UA"/>
              </w:rPr>
              <w:t xml:space="preserve"> тендерної документації</w:t>
            </w:r>
            <w:r w:rsidR="006F15F7" w:rsidRPr="005C5F62">
              <w:rPr>
                <w:sz w:val="20"/>
                <w:szCs w:val="20"/>
                <w:lang w:eastAsia="uk-UA"/>
              </w:rPr>
              <w:t xml:space="preserve"> </w:t>
            </w:r>
          </w:p>
        </w:tc>
        <w:tc>
          <w:tcPr>
            <w:tcW w:w="4970" w:type="dxa"/>
            <w:vAlign w:val="center"/>
            <w:hideMark/>
          </w:tcPr>
          <w:p w:rsidR="00985F88" w:rsidRPr="005C5F62" w:rsidRDefault="004D223F" w:rsidP="004142C9">
            <w:pPr>
              <w:jc w:val="both"/>
              <w:rPr>
                <w:sz w:val="20"/>
                <w:szCs w:val="20"/>
                <w:lang w:eastAsia="uk-UA"/>
              </w:rPr>
            </w:pPr>
            <w:r w:rsidRPr="005C5F62">
              <w:rPr>
                <w:bCs/>
                <w:i/>
                <w:sz w:val="20"/>
                <w:szCs w:val="20"/>
                <w:lang w:eastAsia="uk-UA"/>
              </w:rPr>
              <w:t>Оригінал або копію сертифікату генетичних, технологічних та якісних характеристик, на пропоноване вугілля кам’яне та дійсного на дату подання тендерної пропозиції</w:t>
            </w:r>
            <w:r w:rsidRPr="005C5F62">
              <w:rPr>
                <w:b/>
                <w:bCs/>
                <w:i/>
                <w:sz w:val="20"/>
                <w:szCs w:val="20"/>
                <w:lang w:eastAsia="uk-UA"/>
              </w:rPr>
              <w:t>, виданий на ім’я виробника пропонованої продукції</w:t>
            </w:r>
          </w:p>
        </w:tc>
        <w:tc>
          <w:tcPr>
            <w:tcW w:w="3270" w:type="dxa"/>
            <w:vAlign w:val="center"/>
            <w:hideMark/>
          </w:tcPr>
          <w:p w:rsidR="00B27223" w:rsidRPr="005C5F62" w:rsidRDefault="004D223F" w:rsidP="002B4B56">
            <w:pPr>
              <w:jc w:val="both"/>
              <w:rPr>
                <w:b/>
                <w:sz w:val="20"/>
                <w:szCs w:val="20"/>
                <w:lang w:eastAsia="uk-UA"/>
              </w:rPr>
            </w:pPr>
            <w:r w:rsidRPr="005C5F62">
              <w:rPr>
                <w:bCs/>
                <w:i/>
                <w:sz w:val="20"/>
                <w:szCs w:val="20"/>
                <w:lang w:eastAsia="uk-UA"/>
              </w:rPr>
              <w:t>Оригінал або копію сертифікату генетичних, технологічних та якісних характеристик, на пропоноване вугілля кам’яне та дійсного на дату подання тендерної пропозиції</w:t>
            </w:r>
          </w:p>
        </w:tc>
      </w:tr>
      <w:tr w:rsidR="004142C9" w:rsidRPr="005C5F62" w:rsidTr="0065231F">
        <w:trPr>
          <w:tblCellSpacing w:w="15" w:type="dxa"/>
        </w:trPr>
        <w:tc>
          <w:tcPr>
            <w:tcW w:w="0" w:type="auto"/>
            <w:vAlign w:val="center"/>
          </w:tcPr>
          <w:p w:rsidR="004142C9" w:rsidRPr="005C5F62" w:rsidRDefault="00AB0BAC" w:rsidP="00AB0BAC">
            <w:pPr>
              <w:rPr>
                <w:sz w:val="20"/>
                <w:szCs w:val="20"/>
                <w:lang w:eastAsia="uk-UA"/>
              </w:rPr>
            </w:pPr>
            <w:r w:rsidRPr="005C5F62">
              <w:rPr>
                <w:sz w:val="20"/>
                <w:szCs w:val="20"/>
                <w:lang w:eastAsia="uk-UA"/>
              </w:rPr>
              <w:t>Пункт 2.2. Додатку 1 тендерної документації виключити</w:t>
            </w:r>
          </w:p>
        </w:tc>
        <w:tc>
          <w:tcPr>
            <w:tcW w:w="4970" w:type="dxa"/>
            <w:vAlign w:val="center"/>
          </w:tcPr>
          <w:p w:rsidR="004142C9" w:rsidRPr="005C5F62" w:rsidRDefault="00AB0BAC" w:rsidP="004142C9">
            <w:pPr>
              <w:jc w:val="both"/>
              <w:rPr>
                <w:bCs/>
                <w:i/>
                <w:sz w:val="20"/>
                <w:szCs w:val="20"/>
                <w:lang w:eastAsia="uk-UA"/>
              </w:rPr>
            </w:pPr>
            <w:r w:rsidRPr="005C5F62">
              <w:rPr>
                <w:bCs/>
                <w:i/>
                <w:sz w:val="20"/>
                <w:szCs w:val="20"/>
                <w:lang w:eastAsia="uk-UA"/>
              </w:rPr>
              <w:t xml:space="preserve">2.2. Завірена виробником копія сертифікату генетичних, технологічних та якісних характеристик, видані ТК-92 «Вугілля та продукти його перероблення» або ВП «УКРНДІВУГЛЕЗБАГАЧЕННЯ» ДП «НТЦ «ВУГЛЕІННОВАЦІЯ» виробнику, на визначені замовником в цьому тендері марок вугілля, чинний станом на дату подання тендерних пропозицій цієї </w:t>
            </w:r>
            <w:r w:rsidRPr="005C5F62">
              <w:rPr>
                <w:bCs/>
                <w:i/>
                <w:sz w:val="20"/>
                <w:szCs w:val="20"/>
                <w:lang w:eastAsia="uk-UA"/>
              </w:rPr>
              <w:lastRenderedPageBreak/>
              <w:t>закупівлі. Якщо учасник не є отримувачем зазначених документів, у складі тендерної пропозиції такий учасник повинен надати лист(листи) від отримувача(отримувачів) таких документів, адресований замовнику, в якому зазначено право використання учасником зазначених документів в цьому тендері із зазначенням ідентифікатора закупівлі в електронній системі закупівель. Копія сертифікату генетичних, технологічних та якісних характеристик завіряється у порядку зазначеному цією тендерною документацією виробником вугілля вказаним у довідці</w:t>
            </w:r>
          </w:p>
        </w:tc>
        <w:tc>
          <w:tcPr>
            <w:tcW w:w="3270" w:type="dxa"/>
            <w:vAlign w:val="center"/>
          </w:tcPr>
          <w:p w:rsidR="004142C9" w:rsidRPr="005C5F62" w:rsidRDefault="00AB0BAC" w:rsidP="002B4B56">
            <w:pPr>
              <w:jc w:val="both"/>
              <w:rPr>
                <w:bCs/>
                <w:i/>
                <w:sz w:val="20"/>
                <w:szCs w:val="20"/>
                <w:lang w:eastAsia="uk-UA"/>
              </w:rPr>
            </w:pPr>
            <w:r w:rsidRPr="005C5F62">
              <w:rPr>
                <w:bCs/>
                <w:i/>
                <w:sz w:val="20"/>
                <w:szCs w:val="20"/>
                <w:lang w:eastAsia="uk-UA"/>
              </w:rPr>
              <w:lastRenderedPageBreak/>
              <w:t>виключено</w:t>
            </w:r>
          </w:p>
        </w:tc>
      </w:tr>
      <w:tr w:rsidR="00AB0BAC" w:rsidRPr="005C5F62" w:rsidTr="0065231F">
        <w:trPr>
          <w:tblCellSpacing w:w="15" w:type="dxa"/>
        </w:trPr>
        <w:tc>
          <w:tcPr>
            <w:tcW w:w="0" w:type="auto"/>
            <w:vAlign w:val="center"/>
          </w:tcPr>
          <w:p w:rsidR="00AB0BAC" w:rsidRPr="005C5F62" w:rsidRDefault="00AB0BAC" w:rsidP="00AB0BAC">
            <w:pPr>
              <w:rPr>
                <w:sz w:val="20"/>
                <w:szCs w:val="20"/>
                <w:lang w:eastAsia="uk-UA"/>
              </w:rPr>
            </w:pPr>
            <w:r w:rsidRPr="005C5F62">
              <w:rPr>
                <w:sz w:val="20"/>
                <w:szCs w:val="20"/>
                <w:lang w:eastAsia="uk-UA"/>
              </w:rPr>
              <w:lastRenderedPageBreak/>
              <w:t>Пункт 2.</w:t>
            </w:r>
            <w:r w:rsidRPr="005C5F62">
              <w:rPr>
                <w:sz w:val="20"/>
                <w:szCs w:val="20"/>
                <w:lang w:eastAsia="uk-UA"/>
              </w:rPr>
              <w:t>4</w:t>
            </w:r>
            <w:r w:rsidRPr="005C5F62">
              <w:rPr>
                <w:sz w:val="20"/>
                <w:szCs w:val="20"/>
                <w:lang w:eastAsia="uk-UA"/>
              </w:rPr>
              <w:t>. Додатку 1 тендерної документації виключити</w:t>
            </w:r>
          </w:p>
        </w:tc>
        <w:tc>
          <w:tcPr>
            <w:tcW w:w="4970" w:type="dxa"/>
            <w:vAlign w:val="center"/>
          </w:tcPr>
          <w:p w:rsidR="00AB0BAC" w:rsidRPr="005C5F62" w:rsidRDefault="00AB0BAC" w:rsidP="004142C9">
            <w:pPr>
              <w:jc w:val="both"/>
              <w:rPr>
                <w:bCs/>
                <w:i/>
                <w:sz w:val="20"/>
                <w:szCs w:val="20"/>
                <w:lang w:eastAsia="uk-UA"/>
              </w:rPr>
            </w:pPr>
            <w:r w:rsidRPr="005C5F62">
              <w:rPr>
                <w:bCs/>
                <w:i/>
                <w:sz w:val="20"/>
                <w:szCs w:val="20"/>
                <w:lang w:eastAsia="uk-UA"/>
              </w:rPr>
              <w:t>2.4. Чинний договір(и) купівлі-продажу (або постачання) визначених замовником в цьому тендері марок вугілля між учасником і виробником товару (або продавцем, або постачальником) (якщо учасник не є виробником); договір(и) купівлі-продажу (або постачання) визначених замовником марок вугілля між продавцем (або постачальником) і виробником товару (якщо учасник не є виробником та/або не має прямих договірних відносин з виробником)</w:t>
            </w:r>
          </w:p>
        </w:tc>
        <w:tc>
          <w:tcPr>
            <w:tcW w:w="3270" w:type="dxa"/>
            <w:vAlign w:val="center"/>
          </w:tcPr>
          <w:p w:rsidR="00AB0BAC" w:rsidRPr="005C5F62" w:rsidRDefault="00AB0BAC" w:rsidP="002B4B56">
            <w:pPr>
              <w:jc w:val="both"/>
              <w:rPr>
                <w:bCs/>
                <w:i/>
                <w:sz w:val="20"/>
                <w:szCs w:val="20"/>
                <w:lang w:eastAsia="uk-UA"/>
              </w:rPr>
            </w:pPr>
            <w:r w:rsidRPr="005C5F62">
              <w:rPr>
                <w:bCs/>
                <w:i/>
                <w:sz w:val="20"/>
                <w:szCs w:val="20"/>
                <w:lang w:eastAsia="uk-UA"/>
              </w:rPr>
              <w:t>виключено</w:t>
            </w:r>
          </w:p>
        </w:tc>
      </w:tr>
      <w:tr w:rsidR="00AB0BAC" w:rsidRPr="005C5F62" w:rsidTr="00FC7E19">
        <w:trPr>
          <w:tblCellSpacing w:w="15" w:type="dxa"/>
        </w:trPr>
        <w:tc>
          <w:tcPr>
            <w:tcW w:w="0" w:type="auto"/>
            <w:vAlign w:val="center"/>
          </w:tcPr>
          <w:p w:rsidR="00AB0BAC" w:rsidRPr="005C5F62" w:rsidRDefault="00AB0BAC" w:rsidP="00AB0BAC">
            <w:pPr>
              <w:rPr>
                <w:sz w:val="20"/>
                <w:szCs w:val="20"/>
                <w:lang w:eastAsia="uk-UA"/>
              </w:rPr>
            </w:pPr>
            <w:r w:rsidRPr="005C5F62">
              <w:rPr>
                <w:sz w:val="20"/>
                <w:szCs w:val="20"/>
                <w:lang w:eastAsia="uk-UA"/>
              </w:rPr>
              <w:t xml:space="preserve">Пункт </w:t>
            </w:r>
            <w:r w:rsidRPr="005C5F62">
              <w:rPr>
                <w:sz w:val="20"/>
                <w:szCs w:val="20"/>
                <w:lang w:eastAsia="uk-UA"/>
              </w:rPr>
              <w:t>3</w:t>
            </w:r>
            <w:r w:rsidRPr="005C5F62">
              <w:rPr>
                <w:sz w:val="20"/>
                <w:szCs w:val="20"/>
                <w:lang w:eastAsia="uk-UA"/>
              </w:rPr>
              <w:t>.</w:t>
            </w:r>
            <w:r w:rsidRPr="005C5F62">
              <w:rPr>
                <w:sz w:val="20"/>
                <w:szCs w:val="20"/>
                <w:lang w:eastAsia="uk-UA"/>
              </w:rPr>
              <w:t>1</w:t>
            </w:r>
            <w:r w:rsidRPr="005C5F62">
              <w:rPr>
                <w:sz w:val="20"/>
                <w:szCs w:val="20"/>
                <w:lang w:eastAsia="uk-UA"/>
              </w:rPr>
              <w:t>. Додатку 1 тендерної документації виключити</w:t>
            </w:r>
          </w:p>
        </w:tc>
        <w:tc>
          <w:tcPr>
            <w:tcW w:w="4970" w:type="dxa"/>
            <w:vAlign w:val="center"/>
          </w:tcPr>
          <w:p w:rsidR="00AB0BAC" w:rsidRPr="005C5F62" w:rsidRDefault="00AB0BAC" w:rsidP="00FC7E19">
            <w:pPr>
              <w:jc w:val="both"/>
              <w:rPr>
                <w:bCs/>
                <w:i/>
                <w:sz w:val="20"/>
                <w:szCs w:val="20"/>
                <w:lang w:eastAsia="uk-UA"/>
              </w:rPr>
            </w:pPr>
            <w:r w:rsidRPr="005C5F62">
              <w:rPr>
                <w:bCs/>
                <w:i/>
                <w:sz w:val="20"/>
                <w:szCs w:val="20"/>
                <w:lang w:eastAsia="uk-UA"/>
              </w:rPr>
              <w:t>3.1. Враховуючи той факт, що на зазначений товар відсутні національні стандарти, які встановлюють якісні та технологічні вимоги до брикетів (</w:t>
            </w:r>
            <w:proofErr w:type="spellStart"/>
            <w:r w:rsidRPr="005C5F62">
              <w:rPr>
                <w:bCs/>
                <w:i/>
                <w:sz w:val="20"/>
                <w:szCs w:val="20"/>
                <w:lang w:eastAsia="uk-UA"/>
              </w:rPr>
              <w:t>котунів</w:t>
            </w:r>
            <w:proofErr w:type="spellEnd"/>
            <w:r w:rsidRPr="005C5F62">
              <w:rPr>
                <w:bCs/>
                <w:i/>
                <w:sz w:val="20"/>
                <w:szCs w:val="20"/>
                <w:lang w:eastAsia="uk-UA"/>
              </w:rPr>
              <w:t>) на вугільній основі замовник встановлює якісні та технологічні вимоги з урахуванням потреби та принципів проведення публічних закупівель. Запропонований товар повинен відповідати ТУ виробника. У складі тендерної пропозиції учасники повинні надати: документ про якість на брикети (</w:t>
            </w:r>
            <w:proofErr w:type="spellStart"/>
            <w:r w:rsidRPr="005C5F62">
              <w:rPr>
                <w:bCs/>
                <w:i/>
                <w:sz w:val="20"/>
                <w:szCs w:val="20"/>
                <w:lang w:eastAsia="uk-UA"/>
              </w:rPr>
              <w:t>котуни</w:t>
            </w:r>
            <w:proofErr w:type="spellEnd"/>
            <w:r w:rsidRPr="005C5F62">
              <w:rPr>
                <w:bCs/>
                <w:i/>
                <w:sz w:val="20"/>
                <w:szCs w:val="20"/>
                <w:lang w:eastAsia="uk-UA"/>
              </w:rPr>
              <w:t>) на вугільній основі із зазначенням виробника продукції, виданий випробувальним центром, який має чинний атестат акредитації зареєстрований в реєстрі НААУ, копію нормативно - технічного документу (технічних умов виробника) за якими виготовляються брикети (</w:t>
            </w:r>
            <w:proofErr w:type="spellStart"/>
            <w:r w:rsidRPr="005C5F62">
              <w:rPr>
                <w:bCs/>
                <w:i/>
                <w:sz w:val="20"/>
                <w:szCs w:val="20"/>
                <w:lang w:eastAsia="uk-UA"/>
              </w:rPr>
              <w:t>котуни</w:t>
            </w:r>
            <w:proofErr w:type="spellEnd"/>
            <w:r w:rsidRPr="005C5F62">
              <w:rPr>
                <w:bCs/>
                <w:i/>
                <w:sz w:val="20"/>
                <w:szCs w:val="20"/>
                <w:lang w:eastAsia="uk-UA"/>
              </w:rPr>
              <w:t>) на вугільній основі, та висновок санітарно-епідеміологічної експертизи на  нормативно - технічний документ (технічні умови виробника) за яким виготовляються брикети (</w:t>
            </w:r>
            <w:proofErr w:type="spellStart"/>
            <w:r w:rsidRPr="005C5F62">
              <w:rPr>
                <w:bCs/>
                <w:i/>
                <w:sz w:val="20"/>
                <w:szCs w:val="20"/>
                <w:lang w:eastAsia="uk-UA"/>
              </w:rPr>
              <w:t>котуни</w:t>
            </w:r>
            <w:proofErr w:type="spellEnd"/>
            <w:r w:rsidRPr="005C5F62">
              <w:rPr>
                <w:bCs/>
                <w:i/>
                <w:sz w:val="20"/>
                <w:szCs w:val="20"/>
                <w:lang w:eastAsia="uk-UA"/>
              </w:rPr>
              <w:t>) на вугільній основі, виданий Державно службою України з питань безпечності харчових продуктів та захисту споживачів наявність якого прямо передбачена ст. 11 Закону України «Про забезпечення санітарного та епідемічного благополуччя населення». Якщо учасник не є власником зазначених документів учасник повинен надати в складі тендерної пропозиції лист від власника зазначених документів адресований замовнику що надає учаснику право використання документів в цій процедурі закупівлі (із зазначенням ідентифікатора процедури закупівлі).</w:t>
            </w:r>
          </w:p>
        </w:tc>
        <w:tc>
          <w:tcPr>
            <w:tcW w:w="3270" w:type="dxa"/>
            <w:vAlign w:val="center"/>
          </w:tcPr>
          <w:p w:rsidR="00AB0BAC" w:rsidRPr="005C5F62" w:rsidRDefault="00AB0BAC" w:rsidP="00FC7E19">
            <w:pPr>
              <w:jc w:val="both"/>
              <w:rPr>
                <w:bCs/>
                <w:i/>
                <w:sz w:val="20"/>
                <w:szCs w:val="20"/>
                <w:lang w:eastAsia="uk-UA"/>
              </w:rPr>
            </w:pPr>
            <w:r w:rsidRPr="005C5F62">
              <w:rPr>
                <w:bCs/>
                <w:i/>
                <w:sz w:val="20"/>
                <w:szCs w:val="20"/>
                <w:lang w:eastAsia="uk-UA"/>
              </w:rPr>
              <w:t>виключено</w:t>
            </w:r>
          </w:p>
        </w:tc>
      </w:tr>
      <w:tr w:rsidR="00AB0BAC" w:rsidRPr="005C5F62" w:rsidTr="0065231F">
        <w:trPr>
          <w:tblCellSpacing w:w="15" w:type="dxa"/>
        </w:trPr>
        <w:tc>
          <w:tcPr>
            <w:tcW w:w="0" w:type="auto"/>
            <w:vAlign w:val="center"/>
          </w:tcPr>
          <w:p w:rsidR="00AB0BAC" w:rsidRPr="005C5F62" w:rsidRDefault="00AB0BAC" w:rsidP="00AB0BAC">
            <w:pPr>
              <w:rPr>
                <w:sz w:val="20"/>
                <w:szCs w:val="20"/>
                <w:lang w:eastAsia="uk-UA"/>
              </w:rPr>
            </w:pPr>
            <w:r w:rsidRPr="005C5F62">
              <w:rPr>
                <w:sz w:val="20"/>
                <w:szCs w:val="20"/>
                <w:lang w:eastAsia="uk-UA"/>
              </w:rPr>
              <w:t>Додаткові умови до Додатку 1 тендерної документації</w:t>
            </w:r>
          </w:p>
        </w:tc>
        <w:tc>
          <w:tcPr>
            <w:tcW w:w="4970" w:type="dxa"/>
            <w:vAlign w:val="center"/>
          </w:tcPr>
          <w:p w:rsidR="00AB0BAC" w:rsidRPr="005C5F62" w:rsidRDefault="00AB0BAC" w:rsidP="004142C9">
            <w:pPr>
              <w:jc w:val="both"/>
              <w:rPr>
                <w:bCs/>
                <w:i/>
                <w:sz w:val="20"/>
                <w:szCs w:val="20"/>
                <w:lang w:eastAsia="uk-UA"/>
              </w:rPr>
            </w:pPr>
            <w:r w:rsidRPr="005C5F62">
              <w:rPr>
                <w:bCs/>
                <w:i/>
                <w:sz w:val="20"/>
                <w:szCs w:val="20"/>
                <w:lang w:eastAsia="uk-UA"/>
              </w:rPr>
              <w:t xml:space="preserve">- на всі документи видані не на ім’я учасника, що вимагаються цим Додатком до тендерної документації необхідно надати листи-дозволи на використання документів від власника документів, видані на ім’я учасника або постачальника учасника із </w:t>
            </w:r>
            <w:proofErr w:type="spellStart"/>
            <w:r w:rsidRPr="005C5F62">
              <w:rPr>
                <w:bCs/>
                <w:i/>
                <w:sz w:val="20"/>
                <w:szCs w:val="20"/>
                <w:lang w:eastAsia="uk-UA"/>
              </w:rPr>
              <w:t>вказанням</w:t>
            </w:r>
            <w:proofErr w:type="spellEnd"/>
            <w:r w:rsidRPr="005C5F62">
              <w:rPr>
                <w:bCs/>
                <w:i/>
                <w:sz w:val="20"/>
                <w:szCs w:val="20"/>
                <w:lang w:eastAsia="uk-UA"/>
              </w:rPr>
              <w:t xml:space="preserve"> номеру ідентифікатору закупівлі;</w:t>
            </w:r>
          </w:p>
        </w:tc>
        <w:tc>
          <w:tcPr>
            <w:tcW w:w="3270" w:type="dxa"/>
            <w:vAlign w:val="center"/>
          </w:tcPr>
          <w:p w:rsidR="00AB0BAC" w:rsidRPr="005C5F62" w:rsidRDefault="00AB0BAC" w:rsidP="002B4B56">
            <w:pPr>
              <w:jc w:val="both"/>
              <w:rPr>
                <w:bCs/>
                <w:i/>
                <w:sz w:val="20"/>
                <w:szCs w:val="20"/>
                <w:lang w:eastAsia="uk-UA"/>
              </w:rPr>
            </w:pPr>
            <w:r w:rsidRPr="005C5F62">
              <w:rPr>
                <w:bCs/>
                <w:i/>
                <w:sz w:val="20"/>
                <w:szCs w:val="20"/>
                <w:lang w:eastAsia="uk-UA"/>
              </w:rPr>
              <w:t>виключено</w:t>
            </w:r>
          </w:p>
        </w:tc>
      </w:tr>
      <w:tr w:rsidR="004142C9" w:rsidRPr="005C5F62" w:rsidTr="0065231F">
        <w:trPr>
          <w:tblCellSpacing w:w="15" w:type="dxa"/>
        </w:trPr>
        <w:tc>
          <w:tcPr>
            <w:tcW w:w="0" w:type="auto"/>
            <w:vAlign w:val="center"/>
          </w:tcPr>
          <w:p w:rsidR="004142C9" w:rsidRPr="005C5F62" w:rsidRDefault="004142C9" w:rsidP="004142C9">
            <w:pPr>
              <w:rPr>
                <w:sz w:val="20"/>
                <w:szCs w:val="20"/>
                <w:lang w:eastAsia="uk-UA"/>
              </w:rPr>
            </w:pPr>
            <w:r w:rsidRPr="005C5F62">
              <w:rPr>
                <w:sz w:val="20"/>
                <w:szCs w:val="20"/>
                <w:lang w:eastAsia="uk-UA"/>
              </w:rPr>
              <w:t>Частина 1 розділу «IV. Подання та розкриття тендерної пропозиції» тендерної документації</w:t>
            </w:r>
          </w:p>
        </w:tc>
        <w:tc>
          <w:tcPr>
            <w:tcW w:w="4970" w:type="dxa"/>
            <w:vAlign w:val="center"/>
          </w:tcPr>
          <w:p w:rsidR="004142C9" w:rsidRPr="005C5F62" w:rsidRDefault="004142C9" w:rsidP="005C5F62">
            <w:pPr>
              <w:jc w:val="both"/>
              <w:rPr>
                <w:bCs/>
                <w:i/>
                <w:sz w:val="22"/>
                <w:szCs w:val="22"/>
                <w:lang w:eastAsia="uk-UA"/>
              </w:rPr>
            </w:pPr>
            <w:r w:rsidRPr="005C5F62">
              <w:rPr>
                <w:color w:val="000000"/>
                <w:sz w:val="22"/>
                <w:szCs w:val="22"/>
              </w:rPr>
              <w:t xml:space="preserve">1. Кінцевий строк подання тендерних пропозицій </w:t>
            </w:r>
            <w:r w:rsidR="005C5F62" w:rsidRPr="005C5F62">
              <w:rPr>
                <w:b/>
                <w:color w:val="000000"/>
                <w:sz w:val="22"/>
                <w:szCs w:val="22"/>
              </w:rPr>
              <w:t>08</w:t>
            </w:r>
            <w:r w:rsidRPr="005C5F62">
              <w:rPr>
                <w:b/>
                <w:color w:val="000000"/>
                <w:sz w:val="22"/>
                <w:szCs w:val="22"/>
              </w:rPr>
              <w:t>.10.2023 року 00:00 год.</w:t>
            </w:r>
          </w:p>
        </w:tc>
        <w:tc>
          <w:tcPr>
            <w:tcW w:w="3270" w:type="dxa"/>
            <w:vAlign w:val="center"/>
          </w:tcPr>
          <w:p w:rsidR="004142C9" w:rsidRPr="005C5F62" w:rsidRDefault="004142C9" w:rsidP="005C5F62">
            <w:pPr>
              <w:jc w:val="both"/>
              <w:rPr>
                <w:bCs/>
                <w:i/>
                <w:sz w:val="22"/>
                <w:szCs w:val="22"/>
                <w:lang w:eastAsia="uk-UA"/>
              </w:rPr>
            </w:pPr>
            <w:r w:rsidRPr="005C5F62">
              <w:rPr>
                <w:color w:val="000000"/>
                <w:sz w:val="22"/>
                <w:szCs w:val="22"/>
              </w:rPr>
              <w:t xml:space="preserve">1. Кінцевий строк подання тендерних пропозицій </w:t>
            </w:r>
            <w:r w:rsidR="005C5F62" w:rsidRPr="005C5F62">
              <w:rPr>
                <w:b/>
                <w:color w:val="000000"/>
                <w:sz w:val="22"/>
                <w:szCs w:val="22"/>
              </w:rPr>
              <w:t>24</w:t>
            </w:r>
            <w:r w:rsidRPr="005C5F62">
              <w:rPr>
                <w:b/>
                <w:color w:val="000000"/>
                <w:sz w:val="22"/>
                <w:szCs w:val="22"/>
              </w:rPr>
              <w:t>.10.2023 року 00:00 год.</w:t>
            </w:r>
          </w:p>
        </w:tc>
      </w:tr>
    </w:tbl>
    <w:p w:rsidR="002F1B9D" w:rsidRPr="005C5F62" w:rsidRDefault="002F1B9D" w:rsidP="00985F88">
      <w:pPr>
        <w:pStyle w:val="a4"/>
        <w:spacing w:line="240" w:lineRule="auto"/>
        <w:ind w:firstLine="426"/>
        <w:jc w:val="both"/>
        <w:rPr>
          <w:color w:val="000000"/>
          <w:lang w:val="uk-UA" w:eastAsia="uk-UA"/>
        </w:rPr>
      </w:pPr>
    </w:p>
    <w:p w:rsidR="005F506E" w:rsidRPr="005C5F62" w:rsidRDefault="005F506E" w:rsidP="00985F88">
      <w:pPr>
        <w:pStyle w:val="a4"/>
        <w:spacing w:line="240" w:lineRule="auto"/>
        <w:ind w:firstLine="426"/>
        <w:jc w:val="both"/>
        <w:rPr>
          <w:color w:val="000000"/>
          <w:lang w:val="uk-UA" w:eastAsia="uk-UA"/>
        </w:rPr>
      </w:pPr>
    </w:p>
    <w:p w:rsidR="004D132C" w:rsidRPr="005C5F62" w:rsidRDefault="004D132C" w:rsidP="00985F88">
      <w:pPr>
        <w:pStyle w:val="a4"/>
        <w:spacing w:line="240" w:lineRule="auto"/>
        <w:ind w:firstLine="426"/>
        <w:jc w:val="both"/>
        <w:rPr>
          <w:i/>
          <w:color w:val="FF0000"/>
          <w:lang w:val="uk-UA" w:eastAsia="uk-UA"/>
        </w:rPr>
      </w:pPr>
      <w:r w:rsidRPr="005C5F62">
        <w:rPr>
          <w:color w:val="000000"/>
          <w:lang w:val="uk-UA" w:eastAsia="uk-UA"/>
        </w:rPr>
        <w:t xml:space="preserve">На виконання принципів здійснення закупівель, що передбачені статетею 5 Закону Уповноважена особа з урахуванням </w:t>
      </w:r>
      <w:r w:rsidRPr="005C5F62">
        <w:rPr>
          <w:bCs/>
          <w:lang w:val="uk-UA" w:eastAsia="ar-SA"/>
        </w:rPr>
        <w:t xml:space="preserve">вимоги, щоб з моменту внесення змін до тендерної документації до закінчення строку подання тендерних пропозицій залишилося не менше ніж </w:t>
      </w:r>
      <w:r w:rsidR="001D51C1" w:rsidRPr="005C5F62">
        <w:rPr>
          <w:bCs/>
          <w:lang w:val="uk-UA" w:eastAsia="ar-SA"/>
        </w:rPr>
        <w:t>чотири</w:t>
      </w:r>
      <w:r w:rsidRPr="005C5F62">
        <w:rPr>
          <w:bCs/>
          <w:lang w:val="uk-UA" w:eastAsia="ar-SA"/>
        </w:rPr>
        <w:t xml:space="preserve"> дн</w:t>
      </w:r>
      <w:r w:rsidR="001D51C1" w:rsidRPr="005C5F62">
        <w:rPr>
          <w:bCs/>
          <w:lang w:val="uk-UA" w:eastAsia="ar-SA"/>
        </w:rPr>
        <w:t>і</w:t>
      </w:r>
      <w:r w:rsidRPr="005C5F62">
        <w:rPr>
          <w:bCs/>
          <w:lang w:val="uk-UA" w:eastAsia="ar-SA"/>
        </w:rPr>
        <w:t xml:space="preserve"> </w:t>
      </w:r>
      <w:r w:rsidRPr="005C5F62">
        <w:rPr>
          <w:color w:val="000000"/>
          <w:lang w:val="uk-UA" w:eastAsia="uk-UA"/>
        </w:rPr>
        <w:t>прийня</w:t>
      </w:r>
      <w:r w:rsidR="00585D6D" w:rsidRPr="005C5F62">
        <w:rPr>
          <w:color w:val="000000"/>
          <w:lang w:val="uk-UA" w:eastAsia="uk-UA"/>
        </w:rPr>
        <w:t>ла</w:t>
      </w:r>
      <w:r w:rsidRPr="005C5F62">
        <w:rPr>
          <w:color w:val="000000"/>
          <w:lang w:val="uk-UA" w:eastAsia="uk-UA"/>
        </w:rPr>
        <w:t xml:space="preserve"> рішення</w:t>
      </w:r>
      <w:r w:rsidRPr="005C5F62">
        <w:rPr>
          <w:bCs/>
          <w:lang w:val="uk-UA" w:eastAsia="ar-SA"/>
        </w:rPr>
        <w:t xml:space="preserve"> продовж</w:t>
      </w:r>
      <w:r w:rsidR="004142C9" w:rsidRPr="005C5F62">
        <w:rPr>
          <w:bCs/>
          <w:lang w:val="uk-UA" w:eastAsia="ar-SA"/>
        </w:rPr>
        <w:t>и</w:t>
      </w:r>
      <w:r w:rsidR="0065231F" w:rsidRPr="005C5F62">
        <w:rPr>
          <w:bCs/>
          <w:lang w:val="uk-UA" w:eastAsia="ar-SA"/>
        </w:rPr>
        <w:t>ти</w:t>
      </w:r>
      <w:r w:rsidRPr="005C5F62">
        <w:rPr>
          <w:bCs/>
          <w:lang w:val="uk-UA" w:eastAsia="ar-SA"/>
        </w:rPr>
        <w:t xml:space="preserve"> кінцевий строк подання тендерних пропозицій та визначити датою його завершення </w:t>
      </w:r>
      <w:r w:rsidR="005C5F62" w:rsidRPr="005C5F62">
        <w:rPr>
          <w:u w:val="single"/>
          <w:lang w:val="uk-UA"/>
        </w:rPr>
        <w:t>24</w:t>
      </w:r>
      <w:r w:rsidRPr="005C5F62">
        <w:rPr>
          <w:u w:val="single"/>
          <w:lang w:val="uk-UA"/>
        </w:rPr>
        <w:t>.</w:t>
      </w:r>
      <w:r w:rsidR="0065231F" w:rsidRPr="005C5F62">
        <w:rPr>
          <w:u w:val="single"/>
          <w:lang w:val="uk-UA"/>
        </w:rPr>
        <w:t>10</w:t>
      </w:r>
      <w:r w:rsidRPr="005C5F62">
        <w:rPr>
          <w:u w:val="single"/>
          <w:lang w:val="uk-UA"/>
        </w:rPr>
        <w:t>.202</w:t>
      </w:r>
      <w:r w:rsidR="00985F88" w:rsidRPr="005C5F62">
        <w:rPr>
          <w:u w:val="single"/>
          <w:lang w:val="uk-UA"/>
        </w:rPr>
        <w:t>3</w:t>
      </w:r>
      <w:r w:rsidRPr="005C5F62">
        <w:rPr>
          <w:u w:val="single"/>
          <w:lang w:val="uk-UA"/>
        </w:rPr>
        <w:t xml:space="preserve"> року</w:t>
      </w:r>
      <w:r w:rsidRPr="005C5F62">
        <w:rPr>
          <w:lang w:val="uk-UA"/>
        </w:rPr>
        <w:t xml:space="preserve"> -</w:t>
      </w:r>
      <w:r w:rsidR="00D05B18" w:rsidRPr="005C5F62">
        <w:rPr>
          <w:lang w:val="uk-UA"/>
        </w:rPr>
        <w:t>00</w:t>
      </w:r>
      <w:r w:rsidRPr="005C5F62">
        <w:rPr>
          <w:lang w:val="uk-UA"/>
        </w:rPr>
        <w:t>:00</w:t>
      </w:r>
      <w:r w:rsidRPr="005C5F62">
        <w:rPr>
          <w:bCs/>
          <w:lang w:val="uk-UA" w:eastAsia="ar-SA"/>
        </w:rPr>
        <w:t>.</w:t>
      </w:r>
    </w:p>
    <w:p w:rsidR="004D132C" w:rsidRPr="005C5F62" w:rsidRDefault="004D132C" w:rsidP="00985F88">
      <w:pPr>
        <w:widowControl w:val="0"/>
        <w:ind w:firstLine="284"/>
        <w:contextualSpacing/>
        <w:jc w:val="both"/>
        <w:rPr>
          <w:color w:val="000000"/>
          <w:lang w:eastAsia="uk-UA"/>
        </w:rPr>
      </w:pPr>
      <w:r w:rsidRPr="005C5F62">
        <w:rPr>
          <w:color w:val="000000"/>
          <w:lang w:eastAsia="uk-UA"/>
        </w:rPr>
        <w:t>При цьому, усі документи учасника, довідки, листи від контрагентів учасника, банківських установ, інформація тощо, до яких встановлені вимоги по строку дії або видання зберігають свою чинність у випадку, якщо вони були сформовані/отримані учасником та</w:t>
      </w:r>
      <w:r w:rsidR="00D05B18" w:rsidRPr="005C5F62">
        <w:rPr>
          <w:color w:val="000000"/>
          <w:lang w:eastAsia="uk-UA"/>
        </w:rPr>
        <w:t>/або</w:t>
      </w:r>
      <w:r w:rsidRPr="005C5F62">
        <w:rPr>
          <w:color w:val="000000"/>
          <w:lang w:eastAsia="uk-UA"/>
        </w:rPr>
        <w:t xml:space="preserve"> подані у складі тендерної пропозиції до моменту внесення змін до тендерної документації від </w:t>
      </w:r>
      <w:r w:rsidR="005C5F62" w:rsidRPr="005C5F62">
        <w:rPr>
          <w:color w:val="000000"/>
          <w:lang w:eastAsia="uk-UA"/>
        </w:rPr>
        <w:t>19</w:t>
      </w:r>
      <w:r w:rsidRPr="005C5F62">
        <w:rPr>
          <w:color w:val="000000"/>
          <w:lang w:eastAsia="uk-UA"/>
        </w:rPr>
        <w:t>.</w:t>
      </w:r>
      <w:r w:rsidR="0065231F" w:rsidRPr="005C5F62">
        <w:rPr>
          <w:color w:val="000000"/>
          <w:lang w:eastAsia="uk-UA"/>
        </w:rPr>
        <w:t>10</w:t>
      </w:r>
      <w:r w:rsidRPr="005C5F62">
        <w:rPr>
          <w:color w:val="000000"/>
          <w:lang w:eastAsia="uk-UA"/>
        </w:rPr>
        <w:t>.202</w:t>
      </w:r>
      <w:r w:rsidR="00985F88" w:rsidRPr="005C5F62">
        <w:rPr>
          <w:color w:val="000000"/>
          <w:lang w:eastAsia="uk-UA"/>
        </w:rPr>
        <w:t>3</w:t>
      </w:r>
      <w:r w:rsidRPr="005C5F62">
        <w:rPr>
          <w:color w:val="000000"/>
          <w:lang w:eastAsia="uk-UA"/>
        </w:rPr>
        <w:t xml:space="preserve"> року за умови, що їх кінцевий строк дії відповідатиме загальним вимогам тендерної документації зі змінами. </w:t>
      </w:r>
      <w:r w:rsidR="004D7546" w:rsidRPr="005C5F62">
        <w:rPr>
          <w:color w:val="000000"/>
          <w:lang w:eastAsia="uk-UA"/>
        </w:rPr>
        <w:t>Замовником</w:t>
      </w:r>
      <w:r w:rsidRPr="005C5F62">
        <w:rPr>
          <w:color w:val="000000"/>
          <w:lang w:eastAsia="uk-UA"/>
        </w:rPr>
        <w:t xml:space="preserve"> будуть прийняті як належні документи, що були оформлені до </w:t>
      </w:r>
      <w:r w:rsidR="005C5F62" w:rsidRPr="005C5F62">
        <w:rPr>
          <w:color w:val="000000"/>
          <w:lang w:val="ru-RU" w:eastAsia="uk-UA"/>
        </w:rPr>
        <w:t>19</w:t>
      </w:r>
      <w:r w:rsidRPr="005C5F62">
        <w:rPr>
          <w:color w:val="000000"/>
          <w:lang w:eastAsia="uk-UA"/>
        </w:rPr>
        <w:t>.</w:t>
      </w:r>
      <w:r w:rsidR="0065231F" w:rsidRPr="005C5F62">
        <w:rPr>
          <w:color w:val="000000"/>
          <w:lang w:eastAsia="uk-UA"/>
        </w:rPr>
        <w:t>10</w:t>
      </w:r>
      <w:r w:rsidRPr="005C5F62">
        <w:rPr>
          <w:color w:val="000000"/>
          <w:lang w:eastAsia="uk-UA"/>
        </w:rPr>
        <w:t>.202</w:t>
      </w:r>
      <w:r w:rsidR="00985F88" w:rsidRPr="005C5F62">
        <w:rPr>
          <w:color w:val="000000"/>
          <w:lang w:eastAsia="uk-UA"/>
        </w:rPr>
        <w:t>3</w:t>
      </w:r>
      <w:r w:rsidRPr="005C5F62">
        <w:rPr>
          <w:color w:val="000000"/>
          <w:lang w:eastAsia="uk-UA"/>
        </w:rPr>
        <w:t xml:space="preserve"> року. Повторно переробляти документи учасникам не потрібно.</w:t>
      </w:r>
    </w:p>
    <w:p w:rsidR="004D132C" w:rsidRPr="005C5F62" w:rsidRDefault="004D132C" w:rsidP="00985F88">
      <w:pPr>
        <w:pStyle w:val="a3"/>
        <w:widowControl w:val="0"/>
        <w:spacing w:after="0" w:line="240" w:lineRule="auto"/>
        <w:ind w:left="0" w:firstLine="284"/>
        <w:jc w:val="both"/>
        <w:rPr>
          <w:rFonts w:ascii="Times New Roman" w:eastAsia="Times New Roman" w:hAnsi="Times New Roman"/>
          <w:color w:val="000000"/>
          <w:sz w:val="24"/>
          <w:szCs w:val="24"/>
          <w:lang w:eastAsia="uk-UA"/>
        </w:rPr>
      </w:pPr>
      <w:r w:rsidRPr="005C5F62">
        <w:rPr>
          <w:rFonts w:ascii="Times New Roman" w:eastAsia="Times New Roman" w:hAnsi="Times New Roman"/>
          <w:color w:val="000000"/>
          <w:sz w:val="24"/>
          <w:szCs w:val="24"/>
          <w:lang w:eastAsia="uk-UA"/>
        </w:rPr>
        <w:t>Решта вимог залишити без змін.</w:t>
      </w:r>
    </w:p>
    <w:p w:rsidR="004D132C" w:rsidRPr="005C5F62" w:rsidRDefault="005C5F62" w:rsidP="00985F88">
      <w:pPr>
        <w:pStyle w:val="a3"/>
        <w:widowControl w:val="0"/>
        <w:spacing w:after="0" w:line="240" w:lineRule="auto"/>
        <w:ind w:left="0" w:firstLine="708"/>
        <w:jc w:val="both"/>
        <w:rPr>
          <w:rFonts w:ascii="Times New Roman" w:eastAsia="Times New Roman" w:hAnsi="Times New Roman"/>
          <w:color w:val="000000"/>
          <w:sz w:val="24"/>
          <w:szCs w:val="24"/>
          <w:lang w:eastAsia="uk-UA"/>
        </w:rPr>
      </w:pPr>
      <w:r w:rsidRPr="005C5F62">
        <w:rPr>
          <w:rFonts w:ascii="Times New Roman" w:hAnsi="Times New Roman"/>
          <w:b/>
          <w:bCs/>
          <w:sz w:val="24"/>
          <w:szCs w:val="24"/>
        </w:rPr>
        <w:t>19</w:t>
      </w:r>
      <w:r w:rsidR="004D132C" w:rsidRPr="005C5F62">
        <w:rPr>
          <w:rFonts w:ascii="Times New Roman" w:hAnsi="Times New Roman"/>
          <w:b/>
          <w:bCs/>
          <w:sz w:val="24"/>
          <w:szCs w:val="24"/>
        </w:rPr>
        <w:t>.</w:t>
      </w:r>
      <w:r w:rsidR="0065231F" w:rsidRPr="005C5F62">
        <w:rPr>
          <w:rFonts w:ascii="Times New Roman" w:hAnsi="Times New Roman"/>
          <w:b/>
          <w:bCs/>
          <w:sz w:val="24"/>
          <w:szCs w:val="24"/>
        </w:rPr>
        <w:t>10</w:t>
      </w:r>
      <w:r w:rsidR="004D132C" w:rsidRPr="005C5F62">
        <w:rPr>
          <w:rFonts w:ascii="Times New Roman" w:hAnsi="Times New Roman"/>
          <w:b/>
          <w:bCs/>
          <w:sz w:val="24"/>
          <w:szCs w:val="24"/>
        </w:rPr>
        <w:t>.202</w:t>
      </w:r>
      <w:r w:rsidR="00985F88" w:rsidRPr="005C5F62">
        <w:rPr>
          <w:rFonts w:ascii="Times New Roman" w:hAnsi="Times New Roman"/>
          <w:b/>
          <w:bCs/>
          <w:sz w:val="24"/>
          <w:szCs w:val="24"/>
        </w:rPr>
        <w:t>3</w:t>
      </w:r>
      <w:r w:rsidR="004D132C" w:rsidRPr="005C5F62">
        <w:rPr>
          <w:rFonts w:ascii="Times New Roman" w:hAnsi="Times New Roman"/>
          <w:b/>
          <w:bCs/>
          <w:sz w:val="24"/>
          <w:szCs w:val="24"/>
        </w:rPr>
        <w:t xml:space="preserve"> року</w:t>
      </w:r>
    </w:p>
    <w:p w:rsidR="004D132C" w:rsidRPr="005C5F62" w:rsidRDefault="004D132C" w:rsidP="00985F88">
      <w:pPr>
        <w:jc w:val="both"/>
      </w:pPr>
    </w:p>
    <w:p w:rsidR="00897FDE" w:rsidRPr="006F15F7" w:rsidRDefault="00D0022B" w:rsidP="00985F88">
      <w:pPr>
        <w:jc w:val="both"/>
      </w:pPr>
      <w:r w:rsidRPr="005C5F62">
        <w:t>Уповноважена особа</w:t>
      </w:r>
      <w:r w:rsidR="003F4318" w:rsidRPr="005C5F62">
        <w:t xml:space="preserve">        ____________              </w:t>
      </w:r>
      <w:proofErr w:type="spellStart"/>
      <w:r w:rsidR="0065231F" w:rsidRPr="005C5F62">
        <w:rPr>
          <w:color w:val="000000"/>
        </w:rPr>
        <w:t>Глущенко</w:t>
      </w:r>
      <w:proofErr w:type="spellEnd"/>
      <w:r w:rsidR="0065231F" w:rsidRPr="005C5F62">
        <w:rPr>
          <w:color w:val="000000"/>
        </w:rPr>
        <w:t xml:space="preserve"> Ольга Миколаївна</w:t>
      </w:r>
      <w:bookmarkStart w:id="0" w:name="_GoBack"/>
      <w:bookmarkEnd w:id="0"/>
    </w:p>
    <w:sectPr w:rsidR="00897FDE" w:rsidRPr="006F15F7" w:rsidSect="00E04E8A">
      <w:footerReference w:type="default" r:id="rId8"/>
      <w:pgSz w:w="11906" w:h="16838"/>
      <w:pgMar w:top="426"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DC" w:rsidRDefault="00565ADC" w:rsidP="00EF04F4">
      <w:r>
        <w:separator/>
      </w:r>
    </w:p>
  </w:endnote>
  <w:endnote w:type="continuationSeparator" w:id="0">
    <w:p w:rsidR="00565ADC" w:rsidRDefault="00565ADC" w:rsidP="00EF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00067"/>
      <w:docPartObj>
        <w:docPartGallery w:val="Page Numbers (Bottom of Page)"/>
        <w:docPartUnique/>
      </w:docPartObj>
    </w:sdtPr>
    <w:sdtEndPr/>
    <w:sdtContent>
      <w:p w:rsidR="00EF04F4" w:rsidRDefault="00EF04F4">
        <w:pPr>
          <w:pStyle w:val="ac"/>
          <w:jc w:val="right"/>
        </w:pPr>
        <w:r>
          <w:fldChar w:fldCharType="begin"/>
        </w:r>
        <w:r>
          <w:instrText>PAGE   \* MERGEFORMAT</w:instrText>
        </w:r>
        <w:r>
          <w:fldChar w:fldCharType="separate"/>
        </w:r>
        <w:r w:rsidR="005C5F62" w:rsidRPr="005C5F62">
          <w:rPr>
            <w:noProof/>
            <w:lang w:val="ru-RU"/>
          </w:rPr>
          <w:t>1</w:t>
        </w:r>
        <w:r>
          <w:fldChar w:fldCharType="end"/>
        </w:r>
      </w:p>
    </w:sdtContent>
  </w:sdt>
  <w:p w:rsidR="00EF04F4" w:rsidRDefault="00EF04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DC" w:rsidRDefault="00565ADC" w:rsidP="00EF04F4">
      <w:r>
        <w:separator/>
      </w:r>
    </w:p>
  </w:footnote>
  <w:footnote w:type="continuationSeparator" w:id="0">
    <w:p w:rsidR="00565ADC" w:rsidRDefault="00565ADC" w:rsidP="00EF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502"/>
    <w:multiLevelType w:val="hybridMultilevel"/>
    <w:tmpl w:val="32A2FF38"/>
    <w:lvl w:ilvl="0" w:tplc="8B282274">
      <w:numFmt w:val="bullet"/>
      <w:lvlText w:val="-"/>
      <w:lvlJc w:val="left"/>
      <w:pPr>
        <w:ind w:left="356" w:hanging="164"/>
      </w:pPr>
      <w:rPr>
        <w:rFonts w:ascii="Times New Roman" w:eastAsia="Times New Roman" w:hAnsi="Times New Roman" w:cs="Times New Roman" w:hint="default"/>
        <w:w w:val="100"/>
        <w:sz w:val="22"/>
        <w:szCs w:val="22"/>
        <w:lang w:val="uk-UA" w:eastAsia="en-US" w:bidi="ar-SA"/>
      </w:rPr>
    </w:lvl>
    <w:lvl w:ilvl="1" w:tplc="23B4208A">
      <w:numFmt w:val="bullet"/>
      <w:lvlText w:val="•"/>
      <w:lvlJc w:val="left"/>
      <w:pPr>
        <w:ind w:left="1366" w:hanging="164"/>
      </w:pPr>
      <w:rPr>
        <w:rFonts w:hint="default"/>
        <w:lang w:val="uk-UA" w:eastAsia="en-US" w:bidi="ar-SA"/>
      </w:rPr>
    </w:lvl>
    <w:lvl w:ilvl="2" w:tplc="902C8D40">
      <w:numFmt w:val="bullet"/>
      <w:lvlText w:val="•"/>
      <w:lvlJc w:val="left"/>
      <w:pPr>
        <w:ind w:left="2373" w:hanging="164"/>
      </w:pPr>
      <w:rPr>
        <w:rFonts w:hint="default"/>
        <w:lang w:val="uk-UA" w:eastAsia="en-US" w:bidi="ar-SA"/>
      </w:rPr>
    </w:lvl>
    <w:lvl w:ilvl="3" w:tplc="3978FBD4">
      <w:numFmt w:val="bullet"/>
      <w:lvlText w:val="•"/>
      <w:lvlJc w:val="left"/>
      <w:pPr>
        <w:ind w:left="3380" w:hanging="164"/>
      </w:pPr>
      <w:rPr>
        <w:rFonts w:hint="default"/>
        <w:lang w:val="uk-UA" w:eastAsia="en-US" w:bidi="ar-SA"/>
      </w:rPr>
    </w:lvl>
    <w:lvl w:ilvl="4" w:tplc="A2F2937C">
      <w:numFmt w:val="bullet"/>
      <w:lvlText w:val="•"/>
      <w:lvlJc w:val="left"/>
      <w:pPr>
        <w:ind w:left="4387" w:hanging="164"/>
      </w:pPr>
      <w:rPr>
        <w:rFonts w:hint="default"/>
        <w:lang w:val="uk-UA" w:eastAsia="en-US" w:bidi="ar-SA"/>
      </w:rPr>
    </w:lvl>
    <w:lvl w:ilvl="5" w:tplc="9724B7C4">
      <w:numFmt w:val="bullet"/>
      <w:lvlText w:val="•"/>
      <w:lvlJc w:val="left"/>
      <w:pPr>
        <w:ind w:left="5394" w:hanging="164"/>
      </w:pPr>
      <w:rPr>
        <w:rFonts w:hint="default"/>
        <w:lang w:val="uk-UA" w:eastAsia="en-US" w:bidi="ar-SA"/>
      </w:rPr>
    </w:lvl>
    <w:lvl w:ilvl="6" w:tplc="75A48C14">
      <w:numFmt w:val="bullet"/>
      <w:lvlText w:val="•"/>
      <w:lvlJc w:val="left"/>
      <w:pPr>
        <w:ind w:left="6401" w:hanging="164"/>
      </w:pPr>
      <w:rPr>
        <w:rFonts w:hint="default"/>
        <w:lang w:val="uk-UA" w:eastAsia="en-US" w:bidi="ar-SA"/>
      </w:rPr>
    </w:lvl>
    <w:lvl w:ilvl="7" w:tplc="6828647A">
      <w:numFmt w:val="bullet"/>
      <w:lvlText w:val="•"/>
      <w:lvlJc w:val="left"/>
      <w:pPr>
        <w:ind w:left="7408" w:hanging="164"/>
      </w:pPr>
      <w:rPr>
        <w:rFonts w:hint="default"/>
        <w:lang w:val="uk-UA" w:eastAsia="en-US" w:bidi="ar-SA"/>
      </w:rPr>
    </w:lvl>
    <w:lvl w:ilvl="8" w:tplc="1150AE48">
      <w:numFmt w:val="bullet"/>
      <w:lvlText w:val="•"/>
      <w:lvlJc w:val="left"/>
      <w:pPr>
        <w:ind w:left="8415" w:hanging="164"/>
      </w:pPr>
      <w:rPr>
        <w:rFonts w:hint="default"/>
        <w:lang w:val="uk-UA" w:eastAsia="en-US" w:bidi="ar-SA"/>
      </w:rPr>
    </w:lvl>
  </w:abstractNum>
  <w:abstractNum w:abstractNumId="1">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241F6C"/>
    <w:multiLevelType w:val="hybridMultilevel"/>
    <w:tmpl w:val="1A881C10"/>
    <w:lvl w:ilvl="0" w:tplc="82520B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7E87"/>
    <w:rsid w:val="000006BC"/>
    <w:rsid w:val="0000109C"/>
    <w:rsid w:val="00006A62"/>
    <w:rsid w:val="00023791"/>
    <w:rsid w:val="00027DA5"/>
    <w:rsid w:val="00034DF2"/>
    <w:rsid w:val="000707E2"/>
    <w:rsid w:val="00094170"/>
    <w:rsid w:val="000965CC"/>
    <w:rsid w:val="000D7573"/>
    <w:rsid w:val="00101640"/>
    <w:rsid w:val="001131F5"/>
    <w:rsid w:val="00116A73"/>
    <w:rsid w:val="001246E4"/>
    <w:rsid w:val="001536F1"/>
    <w:rsid w:val="00186336"/>
    <w:rsid w:val="001D3195"/>
    <w:rsid w:val="001D51C1"/>
    <w:rsid w:val="00205421"/>
    <w:rsid w:val="00216486"/>
    <w:rsid w:val="00270F04"/>
    <w:rsid w:val="002A43E8"/>
    <w:rsid w:val="002B4B56"/>
    <w:rsid w:val="002C6048"/>
    <w:rsid w:val="002D037B"/>
    <w:rsid w:val="002D44F3"/>
    <w:rsid w:val="002F1B9D"/>
    <w:rsid w:val="00301724"/>
    <w:rsid w:val="0030355C"/>
    <w:rsid w:val="00305F39"/>
    <w:rsid w:val="00324DE2"/>
    <w:rsid w:val="003362C4"/>
    <w:rsid w:val="00363CB1"/>
    <w:rsid w:val="0036638E"/>
    <w:rsid w:val="0037720C"/>
    <w:rsid w:val="00391D9F"/>
    <w:rsid w:val="003A0CF6"/>
    <w:rsid w:val="003A5544"/>
    <w:rsid w:val="003B3041"/>
    <w:rsid w:val="003B743D"/>
    <w:rsid w:val="003F4318"/>
    <w:rsid w:val="004033AB"/>
    <w:rsid w:val="004142C9"/>
    <w:rsid w:val="00464588"/>
    <w:rsid w:val="00472709"/>
    <w:rsid w:val="004A2E10"/>
    <w:rsid w:val="004B7F98"/>
    <w:rsid w:val="004D132C"/>
    <w:rsid w:val="004D223F"/>
    <w:rsid w:val="004D7546"/>
    <w:rsid w:val="005157A7"/>
    <w:rsid w:val="005255E4"/>
    <w:rsid w:val="00536CE6"/>
    <w:rsid w:val="005434F1"/>
    <w:rsid w:val="00555793"/>
    <w:rsid w:val="00565ADC"/>
    <w:rsid w:val="00585D6D"/>
    <w:rsid w:val="0059043F"/>
    <w:rsid w:val="005B7B0C"/>
    <w:rsid w:val="005C1B63"/>
    <w:rsid w:val="005C5F62"/>
    <w:rsid w:val="005F0439"/>
    <w:rsid w:val="005F0BC1"/>
    <w:rsid w:val="005F506E"/>
    <w:rsid w:val="005F5ACB"/>
    <w:rsid w:val="0065231F"/>
    <w:rsid w:val="00677D17"/>
    <w:rsid w:val="00692C0A"/>
    <w:rsid w:val="00693E12"/>
    <w:rsid w:val="006B5D1E"/>
    <w:rsid w:val="006D249B"/>
    <w:rsid w:val="006F0616"/>
    <w:rsid w:val="006F15F7"/>
    <w:rsid w:val="006F5E20"/>
    <w:rsid w:val="00707405"/>
    <w:rsid w:val="0071290C"/>
    <w:rsid w:val="007467B3"/>
    <w:rsid w:val="007A119E"/>
    <w:rsid w:val="007C5FCB"/>
    <w:rsid w:val="007D1F40"/>
    <w:rsid w:val="007F7B4B"/>
    <w:rsid w:val="0080207D"/>
    <w:rsid w:val="00817D11"/>
    <w:rsid w:val="00823F71"/>
    <w:rsid w:val="008629CE"/>
    <w:rsid w:val="00897FDE"/>
    <w:rsid w:val="008F0752"/>
    <w:rsid w:val="008F7E7B"/>
    <w:rsid w:val="00940BFF"/>
    <w:rsid w:val="009456CB"/>
    <w:rsid w:val="009614BF"/>
    <w:rsid w:val="00985F88"/>
    <w:rsid w:val="009B3C00"/>
    <w:rsid w:val="009E30ED"/>
    <w:rsid w:val="009E63D2"/>
    <w:rsid w:val="00A10EC3"/>
    <w:rsid w:val="00A3012C"/>
    <w:rsid w:val="00A83EE5"/>
    <w:rsid w:val="00A91869"/>
    <w:rsid w:val="00AB0BAC"/>
    <w:rsid w:val="00AC48B5"/>
    <w:rsid w:val="00AC496F"/>
    <w:rsid w:val="00AE6D5A"/>
    <w:rsid w:val="00B11557"/>
    <w:rsid w:val="00B1571F"/>
    <w:rsid w:val="00B24672"/>
    <w:rsid w:val="00B27223"/>
    <w:rsid w:val="00B65D5E"/>
    <w:rsid w:val="00BA1A84"/>
    <w:rsid w:val="00BD3F8C"/>
    <w:rsid w:val="00BF786B"/>
    <w:rsid w:val="00C009F5"/>
    <w:rsid w:val="00C116BD"/>
    <w:rsid w:val="00C23882"/>
    <w:rsid w:val="00C26F31"/>
    <w:rsid w:val="00C9432C"/>
    <w:rsid w:val="00CB7F8F"/>
    <w:rsid w:val="00CC0FD0"/>
    <w:rsid w:val="00CD0F6D"/>
    <w:rsid w:val="00CD1BB8"/>
    <w:rsid w:val="00D0022B"/>
    <w:rsid w:val="00D040A2"/>
    <w:rsid w:val="00D05B18"/>
    <w:rsid w:val="00D12D08"/>
    <w:rsid w:val="00D176B0"/>
    <w:rsid w:val="00D17E87"/>
    <w:rsid w:val="00D41F34"/>
    <w:rsid w:val="00D80F62"/>
    <w:rsid w:val="00D839E8"/>
    <w:rsid w:val="00D87ADC"/>
    <w:rsid w:val="00DB3848"/>
    <w:rsid w:val="00DC17F5"/>
    <w:rsid w:val="00DF38B3"/>
    <w:rsid w:val="00E04E8A"/>
    <w:rsid w:val="00E53910"/>
    <w:rsid w:val="00E61F79"/>
    <w:rsid w:val="00E72371"/>
    <w:rsid w:val="00E8394F"/>
    <w:rsid w:val="00EA629A"/>
    <w:rsid w:val="00EB69FB"/>
    <w:rsid w:val="00EC3044"/>
    <w:rsid w:val="00EC599E"/>
    <w:rsid w:val="00EF04F4"/>
    <w:rsid w:val="00F45B88"/>
    <w:rsid w:val="00F60185"/>
    <w:rsid w:val="00F80D1A"/>
    <w:rsid w:val="00F85819"/>
    <w:rsid w:val="00FC277B"/>
    <w:rsid w:val="00FD6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basedOn w:val="a"/>
    <w:uiPriority w:val="34"/>
    <w:qFormat/>
    <w:rsid w:val="00B1571F"/>
    <w:pPr>
      <w:spacing w:after="200" w:line="276" w:lineRule="auto"/>
      <w:ind w:left="720"/>
      <w:contextualSpacing/>
    </w:pPr>
    <w:rPr>
      <w:rFonts w:ascii="Calibri" w:eastAsia="Calibri" w:hAnsi="Calibri"/>
      <w:sz w:val="22"/>
      <w:szCs w:val="22"/>
      <w:lang w:eastAsia="en-US"/>
    </w:rPr>
  </w:style>
  <w:style w:type="paragraph" w:styleId="a4">
    <w:name w:val="Subtitle"/>
    <w:basedOn w:val="a"/>
    <w:link w:val="a5"/>
    <w:qFormat/>
    <w:rsid w:val="004D132C"/>
    <w:pPr>
      <w:spacing w:line="360" w:lineRule="auto"/>
      <w:jc w:val="center"/>
    </w:pPr>
    <w:rPr>
      <w:b/>
      <w:noProof/>
      <w:lang w:val="en-GB" w:eastAsia="en-US"/>
    </w:rPr>
  </w:style>
  <w:style w:type="character" w:customStyle="1" w:styleId="a5">
    <w:name w:val="Подзаголовок Знак"/>
    <w:basedOn w:val="a0"/>
    <w:link w:val="a4"/>
    <w:rsid w:val="004D132C"/>
    <w:rPr>
      <w:rFonts w:eastAsia="Times New Roman"/>
      <w:b/>
      <w:noProof/>
      <w:sz w:val="24"/>
      <w:szCs w:val="24"/>
      <w:lang w:val="en-GB" w:eastAsia="en-US"/>
    </w:rPr>
  </w:style>
  <w:style w:type="paragraph" w:styleId="a6">
    <w:name w:val="Title"/>
    <w:basedOn w:val="a"/>
    <w:link w:val="a7"/>
    <w:uiPriority w:val="10"/>
    <w:qFormat/>
    <w:rsid w:val="00B27223"/>
    <w:pPr>
      <w:widowControl w:val="0"/>
      <w:ind w:left="320"/>
      <w:jc w:val="center"/>
    </w:pPr>
    <w:rPr>
      <w:rFonts w:ascii="Arial" w:hAnsi="Arial"/>
      <w:b/>
      <w:snapToGrid w:val="0"/>
      <w:sz w:val="18"/>
      <w:szCs w:val="20"/>
      <w:lang w:eastAsia="x-none"/>
    </w:rPr>
  </w:style>
  <w:style w:type="character" w:customStyle="1" w:styleId="a7">
    <w:name w:val="Название Знак"/>
    <w:basedOn w:val="a0"/>
    <w:link w:val="a6"/>
    <w:rsid w:val="00B27223"/>
    <w:rPr>
      <w:rFonts w:ascii="Arial" w:eastAsia="Times New Roman" w:hAnsi="Arial"/>
      <w:b/>
      <w:snapToGrid w:val="0"/>
      <w:sz w:val="18"/>
      <w:lang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B27223"/>
    <w:pPr>
      <w:spacing w:before="100" w:beforeAutospacing="1" w:after="100" w:afterAutospacing="1"/>
    </w:pPr>
    <w:rPr>
      <w:szCs w:val="20"/>
      <w:lang w:val="x-none" w:eastAsia="x-none"/>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paragraph" w:styleId="aa">
    <w:name w:val="header"/>
    <w:basedOn w:val="a"/>
    <w:link w:val="ab"/>
    <w:uiPriority w:val="99"/>
    <w:unhideWhenUsed/>
    <w:rsid w:val="00EF04F4"/>
    <w:pPr>
      <w:tabs>
        <w:tab w:val="center" w:pos="4677"/>
        <w:tab w:val="right" w:pos="9355"/>
      </w:tabs>
    </w:pPr>
  </w:style>
  <w:style w:type="character" w:customStyle="1" w:styleId="ab">
    <w:name w:val="Верхний колонтитул Знак"/>
    <w:basedOn w:val="a0"/>
    <w:link w:val="aa"/>
    <w:uiPriority w:val="99"/>
    <w:rsid w:val="00EF04F4"/>
    <w:rPr>
      <w:rFonts w:eastAsia="Times New Roman"/>
      <w:sz w:val="24"/>
      <w:szCs w:val="24"/>
      <w:lang w:eastAsia="ru-RU"/>
    </w:rPr>
  </w:style>
  <w:style w:type="paragraph" w:styleId="ac">
    <w:name w:val="footer"/>
    <w:basedOn w:val="a"/>
    <w:link w:val="ad"/>
    <w:uiPriority w:val="99"/>
    <w:unhideWhenUsed/>
    <w:rsid w:val="00EF04F4"/>
    <w:pPr>
      <w:tabs>
        <w:tab w:val="center" w:pos="4677"/>
        <w:tab w:val="right" w:pos="9355"/>
      </w:tabs>
    </w:pPr>
  </w:style>
  <w:style w:type="character" w:customStyle="1" w:styleId="ad">
    <w:name w:val="Нижний колонтитул Знак"/>
    <w:basedOn w:val="a0"/>
    <w:link w:val="ac"/>
    <w:uiPriority w:val="99"/>
    <w:rsid w:val="00EF04F4"/>
    <w:rPr>
      <w:rFonts w:eastAsia="Times New Roman"/>
      <w:sz w:val="24"/>
      <w:szCs w:val="24"/>
      <w:lang w:eastAsia="ru-RU"/>
    </w:rPr>
  </w:style>
  <w:style w:type="paragraph" w:customStyle="1" w:styleId="TableParagraph">
    <w:name w:val="Table Paragraph"/>
    <w:basedOn w:val="a"/>
    <w:uiPriority w:val="1"/>
    <w:qFormat/>
    <w:rsid w:val="00324DE2"/>
    <w:pPr>
      <w:widowControl w:val="0"/>
      <w:autoSpaceDE w:val="0"/>
      <w:autoSpaceDN w:val="0"/>
      <w:ind w:left="110"/>
    </w:pPr>
    <w:rPr>
      <w:sz w:val="22"/>
      <w:szCs w:val="22"/>
      <w:lang w:eastAsia="en-US"/>
    </w:rPr>
  </w:style>
  <w:style w:type="character" w:styleId="ae">
    <w:name w:val="Hyperlink"/>
    <w:basedOn w:val="a0"/>
    <w:uiPriority w:val="99"/>
    <w:unhideWhenUsed/>
    <w:rsid w:val="00DF3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94</cp:revision>
  <dcterms:created xsi:type="dcterms:W3CDTF">2021-07-13T10:38:00Z</dcterms:created>
  <dcterms:modified xsi:type="dcterms:W3CDTF">2023-10-19T08:24:00Z</dcterms:modified>
</cp:coreProperties>
</file>