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80" w:rsidRPr="00A93480" w:rsidRDefault="00A93480" w:rsidP="00A93480">
      <w:pPr>
        <w:shd w:val="clear" w:color="auto" w:fill="FFFFFF"/>
        <w:spacing w:line="240" w:lineRule="auto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r w:rsidRPr="00A93480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День </w:t>
      </w:r>
      <w:proofErr w:type="spellStart"/>
      <w:r w:rsidRPr="00A93480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оприлюднення</w:t>
      </w:r>
      <w:proofErr w:type="spellEnd"/>
      <w:r w:rsidRPr="00A93480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на </w:t>
      </w:r>
      <w:proofErr w:type="spellStart"/>
      <w:r w:rsidRPr="00A93480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офіційному</w:t>
      </w:r>
      <w:proofErr w:type="spellEnd"/>
      <w:r w:rsidRPr="00A93480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</w:t>
      </w:r>
      <w:proofErr w:type="spellStart"/>
      <w:r w:rsidRPr="00A93480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>веб-сайті</w:t>
      </w:r>
      <w:proofErr w:type="spellEnd"/>
      <w:r w:rsidRPr="00A93480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t xml:space="preserve"> Регулятора: 19.11.2018</w:t>
      </w:r>
    </w:p>
    <w:p w:rsidR="00A93480" w:rsidRPr="00A93480" w:rsidRDefault="00A93480" w:rsidP="00A93480">
      <w:pPr>
        <w:shd w:val="clear" w:color="auto" w:fill="FFFFFF"/>
        <w:spacing w:after="75"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z w:val="30"/>
          <w:szCs w:val="30"/>
          <w:lang w:eastAsia="ru-RU"/>
        </w:rPr>
      </w:pPr>
      <w:r w:rsidRPr="00A93480">
        <w:rPr>
          <w:rFonts w:ascii="ProbaPro" w:eastAsia="Times New Roman" w:hAnsi="ProbaPro" w:cs="Times New Roman"/>
          <w:b/>
          <w:bCs/>
          <w:color w:val="1D1D1B"/>
          <w:sz w:val="30"/>
          <w:szCs w:val="30"/>
          <w:lang w:eastAsia="ru-RU"/>
        </w:rPr>
        <w:t>Постанова</w:t>
      </w:r>
    </w:p>
    <w:p w:rsidR="00A93480" w:rsidRPr="00A93480" w:rsidRDefault="00A93480" w:rsidP="00A93480">
      <w:pPr>
        <w:shd w:val="clear" w:color="auto" w:fill="FFFFFF"/>
        <w:spacing w:after="75"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pacing w:val="15"/>
          <w:sz w:val="30"/>
          <w:szCs w:val="30"/>
          <w:lang w:eastAsia="ru-RU"/>
        </w:rPr>
      </w:pPr>
      <w:r w:rsidRPr="00A93480">
        <w:rPr>
          <w:rFonts w:ascii="ProbaPro" w:eastAsia="Times New Roman" w:hAnsi="ProbaPro" w:cs="Times New Roman"/>
          <w:b/>
          <w:bCs/>
          <w:color w:val="1D1D1B"/>
          <w:spacing w:val="15"/>
          <w:sz w:val="30"/>
          <w:szCs w:val="30"/>
          <w:lang w:eastAsia="ru-RU"/>
        </w:rPr>
        <w:t>від 16 листопада 2018 р. № 1443</w:t>
      </w:r>
    </w:p>
    <w:p w:rsidR="00A93480" w:rsidRPr="00A93480" w:rsidRDefault="00A93480" w:rsidP="00A93480">
      <w:pPr>
        <w:shd w:val="clear" w:color="auto" w:fill="FFFFFF"/>
        <w:spacing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</w:pPr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Про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видачу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АТ "ПРИКАРПАТТЯОБЛЕНЕРГО"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ліцензії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з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розподілу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електричної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енергії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та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анулювання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ліцензій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з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передачі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електричної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енергії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місцевими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(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локальними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)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електричними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мережами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і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постачання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електричної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енергії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за </w:t>
      </w:r>
      <w:proofErr w:type="spellStart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регульованим</w:t>
      </w:r>
      <w:proofErr w:type="spellEnd"/>
      <w:r w:rsidRPr="00A93480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тарифом</w:t>
      </w:r>
    </w:p>
    <w:p w:rsidR="00A93480" w:rsidRPr="00A93480" w:rsidRDefault="00A93480" w:rsidP="00A93480">
      <w:pPr>
        <w:shd w:val="clear" w:color="auto" w:fill="FFFFFF"/>
        <w:spacing w:after="0" w:line="450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hyperlink r:id="rId4" w:history="1">
        <w:r w:rsidRPr="00A93480">
          <w:rPr>
            <w:rFonts w:ascii="ProbaPro" w:eastAsia="Times New Roman" w:hAnsi="ProbaPro" w:cs="Times New Roman"/>
            <w:caps/>
            <w:color w:val="4B4B4D"/>
            <w:spacing w:val="17"/>
            <w:sz w:val="17"/>
            <w:lang w:eastAsia="ru-RU"/>
          </w:rPr>
          <w:t>ЛІЦЕНЗУВАННЯ ЕЛЕКТРОЕНЕРГІЇ</w:t>
        </w:r>
      </w:hyperlink>
      <w:hyperlink r:id="rId5" w:history="1">
        <w:r w:rsidRPr="00A93480">
          <w:rPr>
            <w:rFonts w:ascii="ProbaPro" w:eastAsia="Times New Roman" w:hAnsi="ProbaPro" w:cs="Times New Roman"/>
            <w:caps/>
            <w:color w:val="4B4B4D"/>
            <w:spacing w:val="17"/>
            <w:sz w:val="17"/>
            <w:lang w:eastAsia="ru-RU"/>
          </w:rPr>
          <w:t>ПОСТАНОВИ</w:t>
        </w:r>
      </w:hyperlink>
    </w:p>
    <w:p w:rsidR="00A93480" w:rsidRPr="00A93480" w:rsidRDefault="00A93480" w:rsidP="00A93480">
      <w:pPr>
        <w:shd w:val="clear" w:color="auto" w:fill="FFFFFF"/>
        <w:spacing w:line="450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</w:p>
    <w:p w:rsidR="00A93480" w:rsidRPr="00A93480" w:rsidRDefault="00A93480" w:rsidP="00A93480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НАЦІОНАЛЬНА КОМІ</w:t>
      </w:r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ІЯ, ЩО ЗДІЙСНЮЄ ДЕРЖАВНЕ РЕГУЛЮВАННЯ</w:t>
      </w:r>
    </w:p>
    <w:p w:rsidR="00A93480" w:rsidRPr="00A93480" w:rsidRDefault="00A93480" w:rsidP="00A93480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</w:t>
      </w:r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СФЕРАХ ЕНЕРГЕТИКИ ТА КОМУНАЛЬНИХ ПОСЛУГ</w:t>
      </w:r>
    </w:p>
    <w:p w:rsidR="00A93480" w:rsidRPr="00A93480" w:rsidRDefault="00A93480" w:rsidP="00A93480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A93480" w:rsidRPr="00A93480" w:rsidRDefault="00A93480" w:rsidP="00A93480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ПОСТАНОВА</w:t>
      </w:r>
    </w:p>
    <w:p w:rsidR="00A93480" w:rsidRPr="00A93480" w:rsidRDefault="00A93480" w:rsidP="00A93480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16.11.2018</w:t>
      </w:r>
      <w:r w:rsidRPr="00A9348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</w:t>
      </w: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№ 1443</w:t>
      </w:r>
    </w:p>
    <w:p w:rsidR="00A93480" w:rsidRPr="00A93480" w:rsidRDefault="00A93480" w:rsidP="00A93480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A93480" w:rsidRPr="00A93480" w:rsidRDefault="00A93480" w:rsidP="00A93480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Про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видачу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АТ «ПРИКАРПАТТЯОБЛЕНЕРГО»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ліцензії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розподілу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та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анулювання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ліцензій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передачі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місцевими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(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локальними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)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електричними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мережами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і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постачання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за </w:t>
      </w:r>
      <w:proofErr w:type="spellStart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регульованим</w:t>
      </w:r>
      <w:proofErr w:type="spellEnd"/>
      <w:r w:rsidRPr="00A9348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тарифом</w:t>
      </w:r>
    </w:p>
    <w:p w:rsidR="00A93480" w:rsidRPr="00A93480" w:rsidRDefault="00A93480" w:rsidP="00A93480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A93480" w:rsidRPr="00A93480" w:rsidRDefault="00A93480" w:rsidP="00A93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Відповідно до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законів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ліцензування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видів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господарської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діяльності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», «Про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Національну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комісію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здійснює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державне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регулювання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сферах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енергетики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комунальних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послуг» та «Про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Національна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комісія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здійснює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державне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регулювання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сферах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енергетики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комунальних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послуг, ПОСТАНОВЛЯЄ:</w:t>
      </w:r>
      <w:proofErr w:type="gramEnd"/>
    </w:p>
    <w:p w:rsidR="00A93480" w:rsidRPr="00A93480" w:rsidRDefault="00A93480" w:rsidP="00A93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A93480" w:rsidRPr="00A93480" w:rsidRDefault="00A93480" w:rsidP="00A93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1. </w:t>
      </w:r>
      <w:proofErr w:type="spellStart"/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Видати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ПРИВАТНОМУ АКЦІОНЕРНОМУ ТОВАРИСТВУ «ПРИКАРПАТТЯОБЛЕНЕРГО» (код ЄДРПОУ 00131564)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право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провадження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господарської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діяльності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межах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місць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провадження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господарської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діяльності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саме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території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Івано-Франківської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області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межах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розташування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системи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перебуває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власності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господарському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віданні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щодо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державного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комунального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майна) ПРИВАТНОГО</w:t>
      </w:r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АКЦІОНЕРНОГО ТОВАРИСТВА «ПРИКАРПАТТЯОБЛЕНЕРГО», та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мереж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інших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власникі</w:t>
      </w:r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</w:t>
      </w:r>
      <w:proofErr w:type="spellEnd"/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</w:t>
      </w:r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приєднані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мереж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ліцензіата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якими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укладені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договори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згідно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законодавством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A93480" w:rsidRPr="00A93480" w:rsidRDefault="00A93480" w:rsidP="00A93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За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видачу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справляється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плата в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розмірі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одного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прожиткового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мінімуму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для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працездатних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осіб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діє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день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прийняття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цієї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постанови, яку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має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бути внесено на рахунок</w:t>
      </w:r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</w:t>
      </w:r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ержавної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казначейської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служби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кодом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класифікації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доходів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бюджету 22011500 «Плата за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видані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Національною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комісією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здійснює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державне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регулювання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сферах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енергетики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комунальних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послуг», у строк не </w:t>
      </w:r>
      <w:proofErr w:type="spellStart"/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ізніше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десяти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робочих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днів з дня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оприлюднення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цього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рішення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установленому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порядку.</w:t>
      </w:r>
    </w:p>
    <w:p w:rsidR="00A93480" w:rsidRPr="00A93480" w:rsidRDefault="00A93480" w:rsidP="00A93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2. </w:t>
      </w:r>
      <w:proofErr w:type="spellStart"/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Анулювати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ПРИВАТНОМУ АКЦІОНЕРНОМУ ТОВАРИСТВУ «ПРИКАРПАТТЯОБЛЕНЕРГО» (код ЄДРПОУ 00131564)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право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провадження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господарської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діяльності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місцевими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локальними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електричними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мережами,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видану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відповідно до постанови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Національної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комісії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питань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регулювання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електроенергетики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від 21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серпня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1996 року № 48, та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право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провадження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господарської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діяльност</w:t>
      </w:r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видану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відповідно до постанови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Національної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комісії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регулювання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електроенергетики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від 26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серпня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2005 року № 719, на </w:t>
      </w:r>
      <w:proofErr w:type="spellStart"/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ідставі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пункту 13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розділу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XVII «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Прикінцеві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перехідні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положення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 Закону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».</w:t>
      </w:r>
    </w:p>
    <w:p w:rsidR="00A93480" w:rsidRPr="00A93480" w:rsidRDefault="00A93480" w:rsidP="00A93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3. 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Зобов’язати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ПРИВАТНЕ АКЦІОНЕРНЕ ТОВАРИСТВО «ПРИКАРПАТТЯОБЛЕНЕРГО»:</w:t>
      </w:r>
    </w:p>
    <w:p w:rsidR="00A93480" w:rsidRPr="00A93480" w:rsidRDefault="00A93480" w:rsidP="00A93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1) до 01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січня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2019 року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забезпечити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завершення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організаційних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заходів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пов’язаних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анулюванням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ліцензій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місцевими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локальними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електричними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мережами та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 та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провадженням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діяльності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ліцензією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зокрема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але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виключно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:</w:t>
      </w:r>
      <w:proofErr w:type="gramEnd"/>
    </w:p>
    <w:p w:rsidR="00A93480" w:rsidRPr="00A93480" w:rsidRDefault="00A93480" w:rsidP="00A93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надавати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 </w:t>
      </w: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за тарифами,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встановленими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постановою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НКРЕКП від 24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січня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2018 року № 82 (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змінами),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дотриманням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визначених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напрямків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обсягів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використання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коштів за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статтями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витрат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структур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тарифі</w:t>
      </w:r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</w:t>
      </w:r>
      <w:proofErr w:type="spellEnd"/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A93480" w:rsidRPr="00A93480" w:rsidRDefault="00A93480" w:rsidP="00A93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виконувати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схвалену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постановою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НКРЕКП від 26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червня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2018 року № 617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інвестиційну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програму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заходи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ремонтів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основних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фондів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повному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обсязі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відповідно до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запланованих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етапів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обсягів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робіт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кількісному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вираженні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згідно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передбаченими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статтею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структури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тарифу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обсягами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фінансування;</w:t>
      </w:r>
      <w:proofErr w:type="gramEnd"/>
    </w:p>
    <w:p w:rsidR="00A93480" w:rsidRPr="00A93480" w:rsidRDefault="00A93480" w:rsidP="00A93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bookmarkStart w:id="0" w:name="n50"/>
      <w:bookmarkStart w:id="1" w:name="n53"/>
      <w:bookmarkEnd w:id="0"/>
      <w:bookmarkEnd w:id="1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2) до 01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квітня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2019 року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надавати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НКРЕКП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звітність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відповідно до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вимог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ідпунктів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7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пунктів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2.3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Ліцензійних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умов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провадження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господарської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діяльності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затверджених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постановою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НКРЕКП від 25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липня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2017 року № 932, та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Ліцензійних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умов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провадження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господарської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діяльності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затверджених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постановою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НКРЕКП від 13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квітня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2017 року № 504,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необхідну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для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НКРЕКП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своїх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повноважень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в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обсягах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у строки,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встановлені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НКРЕКП, та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розмістити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своєму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веб-сайті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ічну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фінансову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звітність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разом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аудиторським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звітом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A93480" w:rsidRPr="00A93480" w:rsidRDefault="00A93480" w:rsidP="00A93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3) до 01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січня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2019 року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укласти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договори про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надання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послуг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споживачами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електроустановки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яких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приєднані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системи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ПРИВАТНОГО АКЦІОНЕРНОГО ТОВАРИСТВА «ПРИКАРПАТТЯОБЛЕНЕРГО», та договори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електропостачальника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надання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послуг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розподілу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електропостачальниками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мають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намі</w:t>
      </w:r>
      <w:proofErr w:type="gram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spellEnd"/>
      <w:proofErr w:type="gram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здійснювати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діяльність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таким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споживачам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відкладальною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умовою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набрання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ними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чинності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01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січня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2019 року.</w:t>
      </w:r>
    </w:p>
    <w:p w:rsidR="00A93480" w:rsidRPr="00A93480" w:rsidRDefault="00A93480" w:rsidP="00A93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4. 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постанова </w:t>
      </w:r>
      <w:r w:rsidRPr="00A9348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набирає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чинності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дня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прийняття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крім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пунктів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 та 2,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набирають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чинності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01 </w:t>
      </w:r>
      <w:proofErr w:type="spellStart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січня</w:t>
      </w:r>
      <w:proofErr w:type="spellEnd"/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2019 року.</w:t>
      </w:r>
    </w:p>
    <w:p w:rsidR="00A93480" w:rsidRPr="00A93480" w:rsidRDefault="00A93480" w:rsidP="00A93480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A93480" w:rsidRPr="00A93480" w:rsidRDefault="00A93480" w:rsidP="00A93480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Голова НКРЕКП</w:t>
      </w:r>
      <w:r w:rsidRPr="00A9348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</w:t>
      </w:r>
      <w:r w:rsidRPr="00A934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О.Кривенко</w:t>
      </w:r>
    </w:p>
    <w:p w:rsidR="003F7ABA" w:rsidRDefault="003F7ABA"/>
    <w:sectPr w:rsidR="003F7ABA" w:rsidSect="003F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80"/>
    <w:rsid w:val="003F7ABA"/>
    <w:rsid w:val="00A9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480"/>
    <w:rPr>
      <w:color w:val="0000FF"/>
      <w:u w:val="single"/>
    </w:rPr>
  </w:style>
  <w:style w:type="character" w:styleId="a4">
    <w:name w:val="Strong"/>
    <w:basedOn w:val="a0"/>
    <w:uiPriority w:val="22"/>
    <w:qFormat/>
    <w:rsid w:val="00A93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3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7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6978">
                  <w:marLeft w:val="4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22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rc.gov.ua/tag/postanovi" TargetMode="External"/><Relationship Id="rId4" Type="http://schemas.openxmlformats.org/officeDocument/2006/relationships/hyperlink" Target="https://www.nerc.gov.ua/tag/litsenzuvannya-elektroener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Company>DG Win&amp;Soft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2024-02-08T06:39:00Z</dcterms:created>
  <dcterms:modified xsi:type="dcterms:W3CDTF">2024-02-08T06:40:00Z</dcterms:modified>
</cp:coreProperties>
</file>