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03" w:rsidRPr="00A20003" w:rsidRDefault="00A20003" w:rsidP="00A20003">
      <w:pPr>
        <w:spacing w:after="0" w:line="240" w:lineRule="auto"/>
        <w:ind w:left="5660"/>
        <w:jc w:val="right"/>
        <w:rPr>
          <w:rFonts w:ascii="Times New Roman" w:eastAsia="Times New Roman" w:hAnsi="Times New Roman" w:cs="Times New Roman"/>
          <w:sz w:val="24"/>
          <w:szCs w:val="24"/>
          <w:lang w:eastAsia="uk-UA"/>
        </w:rPr>
      </w:pPr>
      <w:r w:rsidRPr="00A20003">
        <w:rPr>
          <w:rFonts w:ascii="Times New Roman" w:eastAsia="Times New Roman" w:hAnsi="Times New Roman" w:cs="Times New Roman"/>
          <w:b/>
          <w:color w:val="000000"/>
          <w:sz w:val="24"/>
          <w:szCs w:val="24"/>
          <w:lang w:eastAsia="uk-UA"/>
        </w:rPr>
        <w:t>ДОДАТОК  2</w:t>
      </w:r>
    </w:p>
    <w:p w:rsidR="00A20003" w:rsidRPr="00A20003" w:rsidRDefault="00A20003" w:rsidP="00A20003">
      <w:pPr>
        <w:spacing w:after="0" w:line="240" w:lineRule="auto"/>
        <w:ind w:left="5660"/>
        <w:jc w:val="right"/>
        <w:rPr>
          <w:rFonts w:ascii="Times New Roman" w:eastAsia="Times New Roman" w:hAnsi="Times New Roman" w:cs="Times New Roman"/>
          <w:sz w:val="24"/>
          <w:szCs w:val="24"/>
          <w:lang w:eastAsia="uk-UA"/>
        </w:rPr>
      </w:pPr>
      <w:r w:rsidRPr="00A20003">
        <w:rPr>
          <w:rFonts w:ascii="Times New Roman" w:eastAsia="Times New Roman" w:hAnsi="Times New Roman" w:cs="Times New Roman"/>
          <w:i/>
          <w:color w:val="000000"/>
          <w:sz w:val="24"/>
          <w:szCs w:val="24"/>
          <w:lang w:eastAsia="uk-UA"/>
        </w:rPr>
        <w:t>до тендерної документації</w:t>
      </w:r>
      <w:r w:rsidRPr="00A20003">
        <w:rPr>
          <w:rFonts w:ascii="Times New Roman" w:eastAsia="Times New Roman" w:hAnsi="Times New Roman" w:cs="Times New Roman"/>
          <w:color w:val="000000"/>
          <w:sz w:val="24"/>
          <w:szCs w:val="24"/>
          <w:lang w:eastAsia="uk-UA"/>
        </w:rPr>
        <w:t> </w:t>
      </w:r>
    </w:p>
    <w:p w:rsidR="00A20003" w:rsidRPr="00A20003" w:rsidRDefault="00A20003" w:rsidP="00A20003">
      <w:pPr>
        <w:spacing w:before="240" w:after="0" w:line="240" w:lineRule="auto"/>
        <w:jc w:val="center"/>
        <w:rPr>
          <w:rFonts w:ascii="Times New Roman" w:eastAsia="Times New Roman" w:hAnsi="Times New Roman" w:cs="Times New Roman"/>
          <w:b/>
          <w:i/>
          <w:color w:val="000000"/>
          <w:sz w:val="24"/>
          <w:szCs w:val="24"/>
          <w:lang w:eastAsia="uk-UA"/>
        </w:rPr>
      </w:pPr>
      <w:r w:rsidRPr="00A20003">
        <w:rPr>
          <w:rFonts w:ascii="Times New Roman" w:eastAsia="Times New Roman" w:hAnsi="Times New Roman" w:cs="Times New Roman"/>
          <w:b/>
          <w:i/>
          <w:color w:val="000000"/>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A20003" w:rsidRPr="00A20003" w:rsidRDefault="00A20003" w:rsidP="00A20003">
      <w:pPr>
        <w:spacing w:before="240" w:after="0" w:line="240" w:lineRule="auto"/>
        <w:jc w:val="center"/>
        <w:rPr>
          <w:rFonts w:ascii="Times New Roman" w:eastAsia="Times New Roman" w:hAnsi="Times New Roman" w:cs="Times New Roman"/>
          <w:b/>
          <w:i/>
          <w:color w:val="000000"/>
          <w:sz w:val="4"/>
          <w:szCs w:val="4"/>
          <w:lang w:eastAsia="uk-UA"/>
        </w:rPr>
      </w:pPr>
    </w:p>
    <w:p w:rsidR="00A20003" w:rsidRPr="00A20003" w:rsidRDefault="00A20003" w:rsidP="00A20003">
      <w:pPr>
        <w:spacing w:after="0" w:line="240" w:lineRule="auto"/>
        <w:jc w:val="center"/>
        <w:rPr>
          <w:rFonts w:ascii="Times New Roman" w:eastAsia="Times New Roman" w:hAnsi="Times New Roman" w:cs="Times New Roman"/>
          <w:b/>
          <w:i/>
          <w:sz w:val="24"/>
          <w:szCs w:val="24"/>
          <w:lang w:eastAsia="uk-UA"/>
        </w:rPr>
      </w:pPr>
      <w:r w:rsidRPr="00A20003">
        <w:rPr>
          <w:rFonts w:ascii="Times New Roman" w:eastAsia="Times New Roman" w:hAnsi="Times New Roman" w:cs="Times New Roman"/>
          <w:b/>
          <w:i/>
          <w:sz w:val="24"/>
          <w:szCs w:val="24"/>
          <w:highlight w:val="white"/>
          <w:lang w:eastAsia="uk-UA"/>
        </w:rPr>
        <w:t>ТЕХНІЧНА СПЕЦИФІКАЦІЯ</w:t>
      </w:r>
    </w:p>
    <w:p w:rsidR="00A20003" w:rsidRPr="00A20003" w:rsidRDefault="00A20003" w:rsidP="00A20003">
      <w:pPr>
        <w:suppressAutoHyphens/>
        <w:spacing w:after="0" w:line="240" w:lineRule="auto"/>
        <w:jc w:val="center"/>
        <w:rPr>
          <w:rFonts w:ascii="Times New Roman" w:eastAsia="Times New Roman" w:hAnsi="Times New Roman" w:cs="Times New Roman"/>
          <w:b/>
          <w:bCs/>
          <w:lang w:eastAsia="uk-UA"/>
        </w:rPr>
      </w:pPr>
      <w:r w:rsidRPr="00A20003">
        <w:rPr>
          <w:rFonts w:ascii="Times New Roman" w:eastAsia="Times New Roman" w:hAnsi="Times New Roman" w:cs="Times New Roman"/>
          <w:b/>
          <w:bCs/>
          <w:lang w:eastAsia="uk-UA"/>
        </w:rPr>
        <w:t xml:space="preserve">до предмету закупівлі </w:t>
      </w:r>
    </w:p>
    <w:p w:rsidR="00A20003" w:rsidRPr="00A20003" w:rsidRDefault="00A20003" w:rsidP="00A20003">
      <w:pPr>
        <w:widowControl w:val="0"/>
        <w:suppressAutoHyphens/>
        <w:spacing w:after="0" w:line="240" w:lineRule="auto"/>
        <w:ind w:left="42" w:right="-31"/>
        <w:jc w:val="center"/>
        <w:rPr>
          <w:rFonts w:ascii="Times New Roman" w:eastAsia="Times New Roman" w:hAnsi="Times New Roman" w:cs="Times New Roman"/>
          <w:b/>
          <w:bCs/>
          <w:kern w:val="1"/>
          <w:sz w:val="24"/>
          <w:szCs w:val="24"/>
          <w:lang w:eastAsia="uk-UA"/>
        </w:rPr>
      </w:pPr>
      <w:r w:rsidRPr="00A20003">
        <w:rPr>
          <w:rFonts w:ascii="Times New Roman" w:eastAsia="Times New Roman" w:hAnsi="Times New Roman" w:cs="Times New Roman"/>
          <w:b/>
          <w:bCs/>
          <w:kern w:val="1"/>
          <w:sz w:val="24"/>
          <w:szCs w:val="24"/>
          <w:lang w:eastAsia="uk-UA"/>
        </w:rPr>
        <w:t>«</w:t>
      </w:r>
      <w:r w:rsidRPr="00A20003">
        <w:rPr>
          <w:rFonts w:ascii="Times New Roman" w:hAnsi="Times New Roman" w:cs="Times New Roman"/>
          <w:b/>
          <w:bCs/>
          <w:sz w:val="28"/>
          <w:szCs w:val="28"/>
        </w:rPr>
        <w:t xml:space="preserve">Ретранслятор </w:t>
      </w:r>
      <w:proofErr w:type="spellStart"/>
      <w:r w:rsidRPr="00A20003">
        <w:rPr>
          <w:rFonts w:ascii="Times New Roman" w:hAnsi="Times New Roman" w:cs="Times New Roman"/>
          <w:b/>
          <w:bCs/>
          <w:sz w:val="28"/>
          <w:szCs w:val="28"/>
        </w:rPr>
        <w:t>Motorola</w:t>
      </w:r>
      <w:proofErr w:type="spellEnd"/>
      <w:r w:rsidRPr="00A20003">
        <w:rPr>
          <w:rFonts w:ascii="Times New Roman" w:hAnsi="Times New Roman" w:cs="Times New Roman"/>
          <w:b/>
          <w:bCs/>
          <w:sz w:val="28"/>
          <w:szCs w:val="28"/>
        </w:rPr>
        <w:t xml:space="preserve"> </w:t>
      </w:r>
      <w:proofErr w:type="spellStart"/>
      <w:r w:rsidRPr="00A20003">
        <w:rPr>
          <w:rFonts w:ascii="Times New Roman" w:hAnsi="Times New Roman" w:cs="Times New Roman"/>
          <w:b/>
          <w:bCs/>
          <w:sz w:val="28"/>
          <w:szCs w:val="28"/>
        </w:rPr>
        <w:t>Mototrbo</w:t>
      </w:r>
      <w:proofErr w:type="spellEnd"/>
      <w:r w:rsidRPr="00A20003">
        <w:rPr>
          <w:rFonts w:ascii="Times New Roman" w:hAnsi="Times New Roman" w:cs="Times New Roman"/>
          <w:b/>
          <w:bCs/>
          <w:sz w:val="28"/>
          <w:szCs w:val="28"/>
        </w:rPr>
        <w:t xml:space="preserve"> SLR 5500 VHF</w:t>
      </w:r>
      <w:r w:rsidRPr="00A20003">
        <w:rPr>
          <w:rFonts w:ascii="Times New Roman" w:eastAsia="Times New Roman" w:hAnsi="Times New Roman" w:cs="Times New Roman"/>
          <w:b/>
          <w:bCs/>
          <w:kern w:val="1"/>
          <w:sz w:val="24"/>
          <w:szCs w:val="24"/>
          <w:lang w:eastAsia="uk-UA"/>
        </w:rPr>
        <w:t>»</w:t>
      </w:r>
    </w:p>
    <w:p w:rsidR="00A20003" w:rsidRPr="00A20003" w:rsidRDefault="00A20003" w:rsidP="00A20003">
      <w:pPr>
        <w:spacing w:after="0" w:line="240" w:lineRule="auto"/>
        <w:jc w:val="center"/>
        <w:rPr>
          <w:rFonts w:ascii="Times New Roman" w:eastAsia="Times New Roman" w:hAnsi="Times New Roman" w:cs="Times New Roman"/>
          <w:b/>
          <w:color w:val="000000"/>
          <w:sz w:val="24"/>
          <w:szCs w:val="24"/>
          <w:lang w:eastAsia="uk-UA"/>
        </w:rPr>
      </w:pPr>
      <w:r w:rsidRPr="00A20003">
        <w:rPr>
          <w:rFonts w:ascii="Times New Roman" w:eastAsia="Times New Roman" w:hAnsi="Times New Roman" w:cs="Times New Roman"/>
          <w:b/>
          <w:bCs/>
          <w:sz w:val="24"/>
          <w:szCs w:val="24"/>
          <w:lang w:eastAsia="uk-UA"/>
        </w:rPr>
        <w:t>(</w:t>
      </w:r>
      <w:r w:rsidRPr="00A20003">
        <w:rPr>
          <w:rFonts w:ascii="Times New Roman" w:eastAsia="Times New Roman" w:hAnsi="Times New Roman" w:cs="Times New Roman"/>
          <w:b/>
          <w:color w:val="000000"/>
          <w:sz w:val="24"/>
          <w:szCs w:val="24"/>
          <w:lang w:eastAsia="uk-UA"/>
        </w:rPr>
        <w:t>ДК 021:2015:</w:t>
      </w:r>
      <w:r w:rsidRPr="00A20003">
        <w:rPr>
          <w:rFonts w:ascii="Times New Roman" w:eastAsia="Times New Roman" w:hAnsi="Times New Roman" w:cs="Times New Roman"/>
          <w:b/>
          <w:bCs/>
          <w:sz w:val="24"/>
          <w:szCs w:val="24"/>
          <w:lang w:eastAsia="uk-UA"/>
        </w:rPr>
        <w:t xml:space="preserve"> 32230000-4 - Апаратура для передавання радіосигналу з приймальним пристроєм)</w:t>
      </w:r>
    </w:p>
    <w:p w:rsidR="00A20003" w:rsidRPr="00A20003" w:rsidRDefault="00A20003" w:rsidP="00A20003">
      <w:pPr>
        <w:spacing w:after="0" w:line="240" w:lineRule="auto"/>
        <w:rPr>
          <w:rFonts w:ascii="Calibri" w:eastAsia="Times New Roman" w:hAnsi="Calibri" w:cs="Times New Roman"/>
          <w:lang w:eastAsia="uk-UA"/>
        </w:rPr>
      </w:pPr>
    </w:p>
    <w:p w:rsidR="00A20003" w:rsidRPr="00A20003" w:rsidRDefault="00A20003" w:rsidP="00A20003">
      <w:pPr>
        <w:spacing w:after="0" w:line="240" w:lineRule="auto"/>
        <w:ind w:right="142" w:firstLine="708"/>
        <w:jc w:val="both"/>
        <w:rPr>
          <w:rFonts w:ascii="Calibri" w:eastAsia="Times New Roman" w:hAnsi="Calibri" w:cs="Times New Roman"/>
          <w:lang w:eastAsia="uk-UA"/>
        </w:rPr>
      </w:pPr>
      <w:r w:rsidRPr="00A20003">
        <w:rPr>
          <w:rFonts w:ascii="Times New Roman" w:eastAsia="Times New Roman" w:hAnsi="Times New Roman" w:cs="Times New Roman"/>
          <w:lang w:eastAsia="uk-UA"/>
        </w:rPr>
        <w:t>В місцях, де технічна специфікація містить посилання на</w:t>
      </w:r>
      <w:r w:rsidRPr="00A20003">
        <w:rPr>
          <w:rFonts w:ascii="Times New Roman" w:eastAsia="Times New Roman" w:hAnsi="Times New Roman" w:cs="Times New Roman"/>
          <w:b/>
          <w:bCs/>
          <w:lang w:eastAsia="uk-UA"/>
        </w:rPr>
        <w:t xml:space="preserve"> </w:t>
      </w:r>
      <w:r w:rsidRPr="00A20003">
        <w:rPr>
          <w:rFonts w:ascii="Times New Roman" w:eastAsia="Times New Roman" w:hAnsi="Times New Roman" w:cs="Times New Roman"/>
          <w:lang w:eastAsia="uk-UA"/>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A20003">
        <w:rPr>
          <w:rFonts w:ascii="Times New Roman" w:eastAsia="Times New Roman" w:hAnsi="Times New Roman" w:cs="Times New Roman"/>
          <w:b/>
          <w:bCs/>
          <w:lang w:eastAsia="uk-UA"/>
        </w:rPr>
        <w:t xml:space="preserve"> «або еквівалент».</w:t>
      </w:r>
    </w:p>
    <w:p w:rsidR="00A20003" w:rsidRPr="00A20003" w:rsidRDefault="00A20003" w:rsidP="00A20003">
      <w:pPr>
        <w:tabs>
          <w:tab w:val="left" w:pos="142"/>
        </w:tabs>
        <w:spacing w:after="0" w:line="240" w:lineRule="auto"/>
        <w:jc w:val="center"/>
        <w:rPr>
          <w:rFonts w:ascii="Times New Roman" w:eastAsia="Times New Roman" w:hAnsi="Times New Roman" w:cs="Times New Roman"/>
          <w:b/>
          <w:bCs/>
          <w:lang w:eastAsia="ru-RU"/>
        </w:rPr>
      </w:pPr>
    </w:p>
    <w:p w:rsidR="00A20003" w:rsidRPr="00A20003" w:rsidRDefault="00A20003" w:rsidP="00A20003">
      <w:pPr>
        <w:tabs>
          <w:tab w:val="left" w:pos="714"/>
        </w:tabs>
        <w:spacing w:after="0" w:line="240" w:lineRule="auto"/>
        <w:ind w:firstLine="709"/>
        <w:jc w:val="center"/>
        <w:rPr>
          <w:rFonts w:ascii="Times New Roman" w:eastAsia="Times New Roman" w:hAnsi="Times New Roman" w:cs="Times New Roman"/>
          <w:lang w:eastAsia="uk-UA"/>
        </w:rPr>
      </w:pPr>
      <w:r w:rsidRPr="00A20003">
        <w:rPr>
          <w:rFonts w:ascii="Times New Roman" w:eastAsia="Times New Roman" w:hAnsi="Times New Roman" w:cs="Times New Roman"/>
          <w:b/>
          <w:bCs/>
          <w:lang w:eastAsia="uk-UA"/>
        </w:rPr>
        <w:t>Загальний обсяг закупівлі</w:t>
      </w:r>
      <w:r w:rsidRPr="00A20003">
        <w:rPr>
          <w:rFonts w:ascii="Times New Roman" w:eastAsia="Times New Roman" w:hAnsi="Times New Roman" w:cs="Times New Roman"/>
          <w:lang w:eastAsia="uk-UA"/>
        </w:rPr>
        <w:t>:</w:t>
      </w:r>
    </w:p>
    <w:p w:rsidR="00A20003" w:rsidRPr="00A20003" w:rsidRDefault="00A20003" w:rsidP="00A20003">
      <w:pPr>
        <w:tabs>
          <w:tab w:val="left" w:pos="714"/>
        </w:tabs>
        <w:spacing w:after="0" w:line="240" w:lineRule="auto"/>
        <w:ind w:firstLine="709"/>
        <w:jc w:val="both"/>
        <w:rPr>
          <w:rFonts w:ascii="Times New Roman" w:eastAsia="Times New Roman" w:hAnsi="Times New Roman" w:cs="Times New Roman"/>
          <w:lang w:eastAsia="uk-UA"/>
        </w:rPr>
      </w:pP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172"/>
        <w:gridCol w:w="1379"/>
        <w:gridCol w:w="1840"/>
      </w:tblGrid>
      <w:tr w:rsidR="00A20003" w:rsidRPr="00A20003" w:rsidTr="00DA05CA">
        <w:trPr>
          <w:trHeight w:val="393"/>
          <w:jc w:val="center"/>
        </w:trPr>
        <w:tc>
          <w:tcPr>
            <w:tcW w:w="767" w:type="dxa"/>
            <w:shd w:val="clear" w:color="auto" w:fill="F2F2F2"/>
            <w:noWrap/>
            <w:vAlign w:val="center"/>
            <w:hideMark/>
          </w:tcPr>
          <w:p w:rsidR="00A20003" w:rsidRPr="00A20003" w:rsidRDefault="00A20003" w:rsidP="00A20003">
            <w:pPr>
              <w:widowControl w:val="0"/>
              <w:spacing w:after="0" w:line="240" w:lineRule="auto"/>
              <w:jc w:val="center"/>
              <w:rPr>
                <w:rFonts w:ascii="Times New Roman" w:eastAsia="Arial Unicode MS" w:hAnsi="Times New Roman" w:cs="Times New Roman"/>
                <w:b/>
                <w:bCs/>
                <w:color w:val="000000"/>
                <w:lang w:eastAsia="uk-UA" w:bidi="uk-UA"/>
              </w:rPr>
            </w:pPr>
            <w:r w:rsidRPr="00A20003">
              <w:rPr>
                <w:rFonts w:ascii="Times New Roman" w:eastAsia="Arial Unicode MS" w:hAnsi="Times New Roman" w:cs="Times New Roman"/>
                <w:b/>
                <w:bCs/>
                <w:color w:val="000000"/>
                <w:lang w:eastAsia="uk-UA" w:bidi="uk-UA"/>
              </w:rPr>
              <w:t>№ з/п</w:t>
            </w:r>
          </w:p>
        </w:tc>
        <w:tc>
          <w:tcPr>
            <w:tcW w:w="6172" w:type="dxa"/>
            <w:shd w:val="clear" w:color="auto" w:fill="F2F2F2"/>
            <w:vAlign w:val="center"/>
            <w:hideMark/>
          </w:tcPr>
          <w:p w:rsidR="00A20003" w:rsidRPr="00A20003" w:rsidRDefault="00A20003" w:rsidP="00A20003">
            <w:pPr>
              <w:widowControl w:val="0"/>
              <w:spacing w:after="0" w:line="240" w:lineRule="auto"/>
              <w:jc w:val="center"/>
              <w:rPr>
                <w:rFonts w:ascii="Times New Roman" w:eastAsia="Arial Unicode MS" w:hAnsi="Times New Roman" w:cs="Times New Roman"/>
                <w:b/>
                <w:bCs/>
                <w:color w:val="000000"/>
                <w:lang w:eastAsia="uk-UA" w:bidi="uk-UA"/>
              </w:rPr>
            </w:pPr>
            <w:r w:rsidRPr="00A20003">
              <w:rPr>
                <w:rFonts w:ascii="Times New Roman" w:eastAsia="Arial Unicode MS" w:hAnsi="Times New Roman" w:cs="Times New Roman"/>
                <w:b/>
                <w:bCs/>
                <w:color w:val="000000"/>
                <w:lang w:eastAsia="uk-UA" w:bidi="uk-UA"/>
              </w:rPr>
              <w:t>Назва товару</w:t>
            </w:r>
          </w:p>
        </w:tc>
        <w:tc>
          <w:tcPr>
            <w:tcW w:w="1379" w:type="dxa"/>
            <w:shd w:val="clear" w:color="auto" w:fill="F2F2F2"/>
            <w:vAlign w:val="center"/>
            <w:hideMark/>
          </w:tcPr>
          <w:p w:rsidR="00A20003" w:rsidRPr="00A20003" w:rsidRDefault="00A20003" w:rsidP="00A20003">
            <w:pPr>
              <w:widowControl w:val="0"/>
              <w:spacing w:after="0" w:line="240" w:lineRule="auto"/>
              <w:jc w:val="center"/>
              <w:rPr>
                <w:rFonts w:ascii="Times New Roman" w:eastAsia="Arial Unicode MS" w:hAnsi="Times New Roman" w:cs="Times New Roman"/>
                <w:b/>
                <w:bCs/>
                <w:color w:val="000000"/>
                <w:lang w:eastAsia="uk-UA" w:bidi="uk-UA"/>
              </w:rPr>
            </w:pPr>
            <w:r w:rsidRPr="00A20003">
              <w:rPr>
                <w:rFonts w:ascii="Times New Roman" w:eastAsia="Arial Unicode MS" w:hAnsi="Times New Roman" w:cs="Times New Roman"/>
                <w:b/>
                <w:bCs/>
                <w:color w:val="000000"/>
                <w:lang w:eastAsia="uk-UA" w:bidi="uk-UA"/>
              </w:rPr>
              <w:t>Одиниця виміру</w:t>
            </w:r>
          </w:p>
        </w:tc>
        <w:tc>
          <w:tcPr>
            <w:tcW w:w="1840" w:type="dxa"/>
            <w:shd w:val="clear" w:color="auto" w:fill="F2F2F2"/>
            <w:vAlign w:val="center"/>
            <w:hideMark/>
          </w:tcPr>
          <w:p w:rsidR="00A20003" w:rsidRPr="00A20003" w:rsidRDefault="00A20003" w:rsidP="00A20003">
            <w:pPr>
              <w:widowControl w:val="0"/>
              <w:spacing w:after="0" w:line="240" w:lineRule="auto"/>
              <w:jc w:val="center"/>
              <w:rPr>
                <w:rFonts w:ascii="Times New Roman" w:eastAsia="Arial Unicode MS" w:hAnsi="Times New Roman" w:cs="Times New Roman"/>
                <w:b/>
                <w:bCs/>
                <w:color w:val="000000"/>
                <w:lang w:eastAsia="uk-UA" w:bidi="uk-UA"/>
              </w:rPr>
            </w:pPr>
            <w:r w:rsidRPr="00A20003">
              <w:rPr>
                <w:rFonts w:ascii="Times New Roman" w:eastAsia="Arial Unicode MS" w:hAnsi="Times New Roman" w:cs="Times New Roman"/>
                <w:b/>
                <w:bCs/>
                <w:color w:val="000000"/>
                <w:lang w:eastAsia="uk-UA" w:bidi="uk-UA"/>
              </w:rPr>
              <w:t>Кількість</w:t>
            </w:r>
          </w:p>
        </w:tc>
      </w:tr>
      <w:tr w:rsidR="00A20003" w:rsidRPr="00A20003" w:rsidTr="00DA05CA">
        <w:trPr>
          <w:trHeight w:val="410"/>
          <w:jc w:val="center"/>
        </w:trPr>
        <w:tc>
          <w:tcPr>
            <w:tcW w:w="767" w:type="dxa"/>
            <w:shd w:val="clear" w:color="auto" w:fill="auto"/>
            <w:noWrap/>
          </w:tcPr>
          <w:p w:rsidR="00A20003" w:rsidRPr="00A20003" w:rsidRDefault="00A20003" w:rsidP="00A20003">
            <w:pPr>
              <w:widowControl w:val="0"/>
              <w:spacing w:after="0" w:line="240" w:lineRule="auto"/>
              <w:jc w:val="center"/>
              <w:rPr>
                <w:rFonts w:ascii="Times New Roman" w:eastAsia="Arial Unicode MS" w:hAnsi="Times New Roman" w:cs="Times New Roman"/>
                <w:color w:val="000000"/>
                <w:lang w:eastAsia="uk-UA" w:bidi="uk-UA"/>
              </w:rPr>
            </w:pPr>
            <w:r w:rsidRPr="00A20003">
              <w:rPr>
                <w:rFonts w:ascii="Times New Roman" w:eastAsia="Arial Unicode MS" w:hAnsi="Times New Roman" w:cs="Times New Roman"/>
                <w:color w:val="000000"/>
                <w:lang w:eastAsia="uk-UA" w:bidi="uk-UA"/>
              </w:rPr>
              <w:t>1.</w:t>
            </w:r>
          </w:p>
        </w:tc>
        <w:tc>
          <w:tcPr>
            <w:tcW w:w="6172" w:type="dxa"/>
            <w:shd w:val="clear" w:color="auto" w:fill="auto"/>
          </w:tcPr>
          <w:p w:rsidR="00A20003" w:rsidRPr="00A20003" w:rsidRDefault="00A20003" w:rsidP="00A20003">
            <w:pPr>
              <w:tabs>
                <w:tab w:val="left" w:pos="142"/>
              </w:tabs>
              <w:spacing w:after="0" w:line="240" w:lineRule="auto"/>
              <w:jc w:val="center"/>
              <w:rPr>
                <w:rFonts w:ascii="Times New Roman" w:eastAsia="Times New Roman" w:hAnsi="Times New Roman" w:cs="Times New Roman"/>
                <w:bCs/>
                <w:lang w:eastAsia="ru-RU"/>
              </w:rPr>
            </w:pPr>
            <w:r w:rsidRPr="00A20003">
              <w:rPr>
                <w:rFonts w:ascii="Times New Roman" w:eastAsia="Times New Roman" w:hAnsi="Times New Roman" w:cs="Times New Roman"/>
                <w:bCs/>
                <w:lang w:eastAsia="uk-UA"/>
              </w:rPr>
              <w:t xml:space="preserve">Ретранслятор </w:t>
            </w:r>
            <w:proofErr w:type="spellStart"/>
            <w:r w:rsidRPr="00A20003">
              <w:rPr>
                <w:rFonts w:ascii="Times New Roman" w:eastAsia="Times New Roman" w:hAnsi="Times New Roman" w:cs="Times New Roman"/>
                <w:bCs/>
                <w:lang w:eastAsia="uk-UA"/>
              </w:rPr>
              <w:t>Motorola</w:t>
            </w:r>
            <w:proofErr w:type="spellEnd"/>
            <w:r w:rsidRPr="00A20003">
              <w:rPr>
                <w:rFonts w:ascii="Times New Roman" w:eastAsia="Times New Roman" w:hAnsi="Times New Roman" w:cs="Times New Roman"/>
                <w:bCs/>
                <w:lang w:eastAsia="uk-UA"/>
              </w:rPr>
              <w:t xml:space="preserve"> </w:t>
            </w:r>
            <w:proofErr w:type="spellStart"/>
            <w:r w:rsidRPr="00A20003">
              <w:rPr>
                <w:rFonts w:ascii="Times New Roman" w:eastAsia="Times New Roman" w:hAnsi="Times New Roman" w:cs="Times New Roman"/>
                <w:bCs/>
                <w:lang w:eastAsia="uk-UA"/>
              </w:rPr>
              <w:t>Mototrbo</w:t>
            </w:r>
            <w:proofErr w:type="spellEnd"/>
            <w:r w:rsidRPr="00A20003">
              <w:rPr>
                <w:rFonts w:ascii="Times New Roman" w:eastAsia="Times New Roman" w:hAnsi="Times New Roman" w:cs="Times New Roman"/>
                <w:bCs/>
                <w:lang w:eastAsia="uk-UA"/>
              </w:rPr>
              <w:t xml:space="preserve"> SLR 5500 VHF</w:t>
            </w:r>
            <w:r w:rsidRPr="00A20003">
              <w:rPr>
                <w:rFonts w:ascii="Times New Roman" w:eastAsia="Times New Roman" w:hAnsi="Times New Roman" w:cs="Times New Roman"/>
                <w:bCs/>
                <w:iCs/>
                <w:lang w:eastAsia="uk-UA"/>
              </w:rPr>
              <w:t xml:space="preserve"> </w:t>
            </w:r>
            <w:r w:rsidRPr="00A20003">
              <w:rPr>
                <w:rFonts w:ascii="Times New Roman" w:eastAsia="Times New Roman" w:hAnsi="Times New Roman" w:cs="Times New Roman"/>
                <w:bCs/>
                <w:lang w:eastAsia="ru-RU"/>
              </w:rPr>
              <w:t>(або еквівалент)</w:t>
            </w:r>
          </w:p>
          <w:p w:rsidR="00A20003" w:rsidRPr="00A20003" w:rsidRDefault="00A20003" w:rsidP="00A20003">
            <w:pPr>
              <w:tabs>
                <w:tab w:val="left" w:pos="142"/>
              </w:tabs>
              <w:spacing w:after="0" w:line="240" w:lineRule="auto"/>
              <w:jc w:val="center"/>
              <w:rPr>
                <w:rFonts w:ascii="Times New Roman" w:eastAsia="Arial Unicode MS" w:hAnsi="Times New Roman" w:cs="Times New Roman"/>
                <w:color w:val="00000A"/>
                <w:lang w:eastAsia="uk-UA" w:bidi="uk-UA"/>
              </w:rPr>
            </w:pPr>
          </w:p>
        </w:tc>
        <w:tc>
          <w:tcPr>
            <w:tcW w:w="1379" w:type="dxa"/>
            <w:shd w:val="clear" w:color="auto" w:fill="auto"/>
            <w:noWrap/>
          </w:tcPr>
          <w:p w:rsidR="00A20003" w:rsidRPr="00A20003" w:rsidRDefault="00C52F5F" w:rsidP="00A20003">
            <w:pPr>
              <w:widowControl w:val="0"/>
              <w:spacing w:after="0" w:line="240" w:lineRule="auto"/>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шт</w:t>
            </w:r>
            <w:bookmarkStart w:id="0" w:name="_GoBack"/>
            <w:bookmarkEnd w:id="0"/>
          </w:p>
        </w:tc>
        <w:tc>
          <w:tcPr>
            <w:tcW w:w="1840" w:type="dxa"/>
            <w:shd w:val="clear" w:color="auto" w:fill="auto"/>
            <w:noWrap/>
          </w:tcPr>
          <w:p w:rsidR="00A20003" w:rsidRPr="00A20003" w:rsidRDefault="00A20003" w:rsidP="00A20003">
            <w:pPr>
              <w:widowControl w:val="0"/>
              <w:spacing w:after="0" w:line="240" w:lineRule="auto"/>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w:t>
            </w:r>
          </w:p>
        </w:tc>
      </w:tr>
    </w:tbl>
    <w:p w:rsidR="00A20003" w:rsidRPr="00A20003" w:rsidRDefault="00A20003" w:rsidP="00A20003">
      <w:pPr>
        <w:tabs>
          <w:tab w:val="left" w:pos="142"/>
        </w:tabs>
        <w:spacing w:after="0" w:line="240" w:lineRule="auto"/>
        <w:jc w:val="center"/>
        <w:rPr>
          <w:rFonts w:ascii="Times New Roman" w:eastAsia="Times New Roman" w:hAnsi="Times New Roman" w:cs="Times New Roman"/>
          <w:b/>
          <w:bCs/>
          <w:lang w:eastAsia="ru-RU"/>
        </w:rPr>
      </w:pPr>
    </w:p>
    <w:p w:rsidR="00A20003" w:rsidRPr="00A20003" w:rsidRDefault="00A20003" w:rsidP="00A20003">
      <w:pPr>
        <w:spacing w:after="0" w:line="240" w:lineRule="auto"/>
        <w:ind w:firstLine="708"/>
        <w:jc w:val="both"/>
        <w:rPr>
          <w:rFonts w:ascii="Times New Roman" w:eastAsia="Times New Roman" w:hAnsi="Times New Roman" w:cs="Times New Roman"/>
          <w:sz w:val="24"/>
          <w:szCs w:val="24"/>
          <w:lang w:eastAsia="uk-UA"/>
        </w:rPr>
      </w:pPr>
    </w:p>
    <w:p w:rsidR="00A20003" w:rsidRPr="00A20003" w:rsidRDefault="00A20003" w:rsidP="00A20003">
      <w:pPr>
        <w:spacing w:after="0" w:line="240" w:lineRule="auto"/>
        <w:ind w:firstLine="708"/>
        <w:jc w:val="both"/>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в складі документів тендерної пропозиції повинен надати:</w:t>
      </w:r>
    </w:p>
    <w:p w:rsidR="00A20003" w:rsidRPr="00A20003" w:rsidRDefault="00A20003" w:rsidP="00A20003">
      <w:pPr>
        <w:spacing w:after="0" w:line="240" w:lineRule="auto"/>
        <w:ind w:firstLine="708"/>
        <w:jc w:val="both"/>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 xml:space="preserve">1. Відповідну технічну специфікацію включно з Таблицею 1, що наведена нижче (у стовпці </w:t>
      </w:r>
      <w:r w:rsidRPr="00A20003">
        <w:rPr>
          <w:rFonts w:ascii="Times New Roman" w:eastAsia="Times New Roman" w:hAnsi="Times New Roman" w:cs="Times New Roman"/>
          <w:b/>
          <w:lang w:eastAsia="uk-UA"/>
        </w:rPr>
        <w:t>«Інформація про технічні та якісні характеристики предмета закупівлі, що пропонується учасником процедури в його тендерній пропозиції із зазначенням фактичних характеристик товару»</w:t>
      </w:r>
      <w:r w:rsidRPr="00A20003">
        <w:rPr>
          <w:rFonts w:ascii="Times New Roman" w:eastAsia="Times New Roman" w:hAnsi="Times New Roman" w:cs="Times New Roman"/>
          <w:lang w:eastAsia="uk-UA"/>
        </w:rPr>
        <w:t xml:space="preserve"> зазначаються фактичні показники запропонованого учасником товару (інформацію надати не змінюючи порядок характеристик, що визначені в таблиці 1). Фактичні показники запропонованого учасником товару повинні бути не гіршими ніж це зазначено у вимогах замовника щодо необхідних технічних та якісних характеристик предмета закупівлі, а також повинні підтверджувати відповідність встановленим замовником вимогам.</w:t>
      </w:r>
    </w:p>
    <w:p w:rsidR="00A20003" w:rsidRPr="00A20003" w:rsidRDefault="00A20003" w:rsidP="00A20003">
      <w:pPr>
        <w:widowControl w:val="0"/>
        <w:suppressAutoHyphens/>
        <w:snapToGrid w:val="0"/>
        <w:spacing w:after="0" w:line="240" w:lineRule="auto"/>
        <w:jc w:val="right"/>
        <w:rPr>
          <w:rFonts w:ascii="Times New Roman" w:eastAsia="Times New Roman" w:hAnsi="Times New Roman" w:cs="Times New Roman"/>
          <w:b/>
          <w:lang w:eastAsia="zh-CN"/>
        </w:rPr>
      </w:pPr>
      <w:r w:rsidRPr="00A20003">
        <w:rPr>
          <w:rFonts w:ascii="Times New Roman" w:eastAsia="Times New Roman" w:hAnsi="Times New Roman" w:cs="Times New Roman"/>
          <w:b/>
          <w:lang w:eastAsia="zh-CN"/>
        </w:rPr>
        <w:t>Таблиця 1</w:t>
      </w:r>
    </w:p>
    <w:tbl>
      <w:tblPr>
        <w:tblW w:w="10185" w:type="dxa"/>
        <w:tblInd w:w="-88" w:type="dxa"/>
        <w:tblCellMar>
          <w:left w:w="0" w:type="dxa"/>
          <w:right w:w="0" w:type="dxa"/>
        </w:tblCellMar>
        <w:tblLook w:val="04A0" w:firstRow="1" w:lastRow="0" w:firstColumn="1" w:lastColumn="0" w:noHBand="0" w:noVBand="1"/>
      </w:tblPr>
      <w:tblGrid>
        <w:gridCol w:w="2981"/>
        <w:gridCol w:w="70"/>
        <w:gridCol w:w="4921"/>
        <w:gridCol w:w="2213"/>
      </w:tblGrid>
      <w:tr w:rsidR="00A20003" w:rsidRPr="00A20003" w:rsidTr="00DA05CA">
        <w:trPr>
          <w:trHeight w:val="1166"/>
        </w:trPr>
        <w:tc>
          <w:tcPr>
            <w:tcW w:w="7972" w:type="dxa"/>
            <w:gridSpan w:val="3"/>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20003" w:rsidRPr="00A20003" w:rsidRDefault="00A20003" w:rsidP="00A20003">
            <w:pPr>
              <w:spacing w:after="0" w:line="240" w:lineRule="auto"/>
              <w:rPr>
                <w:rFonts w:ascii="Times New Roman" w:eastAsia="Times New Roman" w:hAnsi="Times New Roman" w:cs="Times New Roman"/>
                <w:lang w:eastAsia="uk-UA"/>
              </w:rPr>
            </w:pPr>
            <w:r w:rsidRPr="00A20003">
              <w:rPr>
                <w:rFonts w:ascii="Times New Roman" w:eastAsia="Times New Roman" w:hAnsi="Times New Roman" w:cs="Times New Roman"/>
                <w:b/>
                <w:lang w:eastAsia="uk-UA"/>
              </w:rPr>
              <w:t>Вимоги замовника щодо необхідних технічних та якісних характеристик предмета закупівлі</w:t>
            </w:r>
          </w:p>
        </w:tc>
        <w:tc>
          <w:tcPr>
            <w:tcW w:w="2213" w:type="dxa"/>
            <w:tcBorders>
              <w:top w:val="single" w:sz="4" w:space="0" w:color="000000"/>
              <w:left w:val="single" w:sz="4" w:space="0" w:color="000000"/>
              <w:bottom w:val="single" w:sz="4" w:space="0" w:color="000000"/>
              <w:right w:val="single" w:sz="4" w:space="0" w:color="000000"/>
            </w:tcBorders>
            <w:hideMark/>
          </w:tcPr>
          <w:p w:rsidR="00A20003" w:rsidRPr="00A20003" w:rsidRDefault="00A20003" w:rsidP="00A20003">
            <w:pPr>
              <w:spacing w:after="0" w:line="240" w:lineRule="auto"/>
              <w:rPr>
                <w:rFonts w:ascii="Times New Roman" w:eastAsia="Times New Roman" w:hAnsi="Times New Roman" w:cs="Times New Roman"/>
                <w:b/>
                <w:lang w:eastAsia="uk-UA"/>
              </w:rPr>
            </w:pPr>
            <w:r w:rsidRPr="00A20003">
              <w:rPr>
                <w:rFonts w:ascii="Times New Roman" w:eastAsia="Times New Roman" w:hAnsi="Times New Roman" w:cs="Times New Roman"/>
                <w:b/>
                <w:lang w:eastAsia="uk-UA"/>
              </w:rPr>
              <w:t>Інформація про технічні та якісні характеристики предмета закупівлі, що пропонується учасником процедури в його тендерній пропозиції із зазначенням фактичних характеристик товару*</w:t>
            </w:r>
          </w:p>
        </w:tc>
      </w:tr>
      <w:tr w:rsidR="00A20003" w:rsidRPr="00A20003" w:rsidTr="00DA05CA">
        <w:trPr>
          <w:trHeight w:val="63"/>
        </w:trPr>
        <w:tc>
          <w:tcPr>
            <w:tcW w:w="2981" w:type="dxa"/>
            <w:tcBorders>
              <w:top w:val="single" w:sz="4" w:space="0" w:color="000000"/>
              <w:left w:val="single" w:sz="4" w:space="0" w:color="000000"/>
              <w:bottom w:val="single" w:sz="4" w:space="0" w:color="000000"/>
              <w:right w:val="single" w:sz="4" w:space="0" w:color="auto"/>
            </w:tcBorders>
            <w:tcMar>
              <w:top w:w="88" w:type="dxa"/>
              <w:left w:w="88" w:type="dxa"/>
              <w:bottom w:w="88" w:type="dxa"/>
              <w:right w:w="88" w:type="dxa"/>
            </w:tcMar>
            <w:vAlign w:val="bottom"/>
            <w:hideMark/>
          </w:tcPr>
          <w:p w:rsidR="00A20003" w:rsidRPr="00A20003" w:rsidRDefault="00A20003" w:rsidP="00A20003">
            <w:pPr>
              <w:widowControl w:val="0"/>
              <w:autoSpaceDE w:val="0"/>
              <w:autoSpaceDN w:val="0"/>
              <w:adjustRightInd w:val="0"/>
              <w:spacing w:after="0" w:line="240" w:lineRule="auto"/>
              <w:ind w:right="1"/>
              <w:jc w:val="center"/>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Характеристики</w:t>
            </w:r>
          </w:p>
        </w:tc>
        <w:tc>
          <w:tcPr>
            <w:tcW w:w="4991" w:type="dxa"/>
            <w:gridSpan w:val="2"/>
            <w:tcBorders>
              <w:top w:val="single" w:sz="4" w:space="0" w:color="000000"/>
              <w:left w:val="single" w:sz="4" w:space="0" w:color="auto"/>
              <w:bottom w:val="single" w:sz="4" w:space="0" w:color="000000"/>
              <w:right w:val="single" w:sz="4" w:space="0" w:color="000000"/>
            </w:tcBorders>
            <w:vAlign w:val="bottom"/>
            <w:hideMark/>
          </w:tcPr>
          <w:p w:rsidR="00A20003" w:rsidRPr="00A20003" w:rsidRDefault="00A20003" w:rsidP="00A20003">
            <w:pPr>
              <w:suppressAutoHyphens/>
              <w:spacing w:after="0" w:line="240" w:lineRule="auto"/>
              <w:jc w:val="center"/>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Значення</w:t>
            </w:r>
          </w:p>
        </w:tc>
        <w:tc>
          <w:tcPr>
            <w:tcW w:w="2213" w:type="dxa"/>
            <w:tcBorders>
              <w:top w:val="single" w:sz="4" w:space="0" w:color="000000"/>
              <w:left w:val="single" w:sz="4" w:space="0" w:color="000000"/>
              <w:bottom w:val="single" w:sz="4" w:space="0" w:color="000000"/>
              <w:right w:val="single" w:sz="4" w:space="0" w:color="000000"/>
            </w:tcBorders>
            <w:hideMark/>
          </w:tcPr>
          <w:p w:rsidR="00A20003" w:rsidRPr="00A20003" w:rsidRDefault="00A20003" w:rsidP="00A20003">
            <w:pPr>
              <w:spacing w:after="0" w:line="240" w:lineRule="auto"/>
              <w:rPr>
                <w:rFonts w:ascii="Times New Roman" w:eastAsia="Times New Roman" w:hAnsi="Times New Roman" w:cs="Times New Roman"/>
                <w:b/>
                <w:lang w:eastAsia="uk-UA"/>
              </w:rPr>
            </w:pPr>
            <w:r w:rsidRPr="00A20003">
              <w:rPr>
                <w:rFonts w:ascii="Times New Roman" w:eastAsia="Times New Roman" w:hAnsi="Times New Roman" w:cs="Times New Roman"/>
                <w:lang w:eastAsia="uk-UA"/>
              </w:rPr>
              <w:t>Значення</w:t>
            </w:r>
          </w:p>
        </w:tc>
      </w:tr>
      <w:tr w:rsidR="00885381" w:rsidRPr="00A20003" w:rsidTr="009B11BD">
        <w:trPr>
          <w:trHeight w:val="63"/>
        </w:trPr>
        <w:tc>
          <w:tcPr>
            <w:tcW w:w="2981" w:type="dxa"/>
            <w:tcBorders>
              <w:top w:val="single" w:sz="4" w:space="0" w:color="000000"/>
              <w:left w:val="single" w:sz="4" w:space="0" w:color="000000"/>
              <w:bottom w:val="single" w:sz="4" w:space="0" w:color="000000"/>
              <w:right w:val="single" w:sz="4" w:space="0" w:color="auto"/>
            </w:tcBorders>
            <w:tcMar>
              <w:top w:w="88" w:type="dxa"/>
              <w:left w:w="88" w:type="dxa"/>
              <w:bottom w:w="88" w:type="dxa"/>
              <w:right w:w="88" w:type="dxa"/>
            </w:tcMar>
            <w:hideMark/>
          </w:tcPr>
          <w:p w:rsidR="00885381" w:rsidRPr="00A20003" w:rsidRDefault="00885381" w:rsidP="00885381">
            <w:pPr>
              <w:spacing w:after="0" w:line="240" w:lineRule="auto"/>
              <w:ind w:left="25"/>
              <w:rPr>
                <w:rFonts w:ascii="Times New Roman" w:eastAsia="Times New Roman" w:hAnsi="Times New Roman" w:cs="Times New Roman"/>
                <w:lang w:val="ru-RU" w:eastAsia="uk-UA"/>
              </w:rPr>
            </w:pPr>
            <w:r w:rsidRPr="00FC3C1F">
              <w:rPr>
                <w:rFonts w:ascii="Times New Roman" w:hAnsi="Times New Roman"/>
                <w:color w:val="000000"/>
              </w:rPr>
              <w:t>Стандарт</w:t>
            </w:r>
          </w:p>
        </w:tc>
        <w:tc>
          <w:tcPr>
            <w:tcW w:w="4991" w:type="dxa"/>
            <w:gridSpan w:val="2"/>
            <w:tcBorders>
              <w:top w:val="single" w:sz="4" w:space="0" w:color="000000"/>
              <w:left w:val="single" w:sz="4" w:space="0" w:color="000000"/>
              <w:bottom w:val="single" w:sz="4" w:space="0" w:color="000000"/>
              <w:right w:val="single" w:sz="4" w:space="0" w:color="000000"/>
            </w:tcBorders>
          </w:tcPr>
          <w:p w:rsidR="00885381" w:rsidRPr="00FC3C1F" w:rsidRDefault="00885381" w:rsidP="00885381">
            <w:pPr>
              <w:contextualSpacing/>
              <w:jc w:val="both"/>
            </w:pPr>
            <w:r w:rsidRPr="00FC3C1F">
              <w:rPr>
                <w:rFonts w:ascii="Times New Roman" w:hAnsi="Times New Roman"/>
              </w:rPr>
              <w:t>DMR ETSI TS 102 361-1, -2, -3</w:t>
            </w:r>
          </w:p>
        </w:tc>
        <w:tc>
          <w:tcPr>
            <w:tcW w:w="2213" w:type="dxa"/>
            <w:tcBorders>
              <w:top w:val="single" w:sz="4" w:space="0" w:color="000000"/>
              <w:left w:val="single" w:sz="4" w:space="0" w:color="000000"/>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lang w:eastAsia="uk-UA"/>
              </w:rPr>
            </w:pPr>
          </w:p>
        </w:tc>
      </w:tr>
      <w:tr w:rsidR="00885381" w:rsidRPr="00A20003" w:rsidTr="009B11BD">
        <w:trPr>
          <w:trHeight w:val="175"/>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hideMark/>
          </w:tcPr>
          <w:p w:rsidR="00885381" w:rsidRPr="00A20003" w:rsidRDefault="00885381" w:rsidP="00885381">
            <w:pPr>
              <w:spacing w:after="0" w:line="240" w:lineRule="auto"/>
              <w:ind w:left="25"/>
              <w:rPr>
                <w:rFonts w:ascii="Times New Roman" w:eastAsia="Times New Roman" w:hAnsi="Times New Roman" w:cs="Times New Roman"/>
                <w:lang w:eastAsia="uk-UA"/>
              </w:rPr>
            </w:pPr>
            <w:r w:rsidRPr="00FC3C1F">
              <w:rPr>
                <w:rFonts w:ascii="Times New Roman" w:hAnsi="Times New Roman"/>
                <w:color w:val="000000"/>
              </w:rPr>
              <w:lastRenderedPageBreak/>
              <w:t>Діапазон частот</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136-174 МГц</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376"/>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hideMark/>
          </w:tcPr>
          <w:p w:rsidR="00885381" w:rsidRPr="00A20003" w:rsidRDefault="00885381" w:rsidP="00885381">
            <w:pPr>
              <w:spacing w:after="0" w:line="240" w:lineRule="auto"/>
              <w:ind w:left="25"/>
              <w:rPr>
                <w:rFonts w:ascii="Times New Roman" w:eastAsia="Times New Roman" w:hAnsi="Times New Roman" w:cs="Times New Roman"/>
                <w:lang w:eastAsia="uk-UA"/>
              </w:rPr>
            </w:pPr>
            <w:bookmarkStart w:id="1" w:name="_heading=h.gjdgxs"/>
            <w:bookmarkEnd w:id="1"/>
            <w:r w:rsidRPr="00A20003">
              <w:rPr>
                <w:rFonts w:ascii="Times New Roman" w:eastAsia="Times New Roman" w:hAnsi="Times New Roman" w:cs="Times New Roman"/>
                <w:bdr w:val="none" w:sz="0" w:space="0" w:color="auto" w:frame="1"/>
                <w:lang w:eastAsia="uk-UA"/>
              </w:rPr>
              <w:t>Робоча напруга</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pPr>
            <w:r w:rsidRPr="00FC3C1F">
              <w:rPr>
                <w:rFonts w:ascii="Times New Roman" w:hAnsi="Times New Roman"/>
                <w:color w:val="000000"/>
              </w:rPr>
              <w:t>220В (змінна напруга) та 12В або 48В (постійна напруга) від вбудованого або зовнішнього блоку живлення</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150"/>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hideMark/>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Тип випромінювання</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rPr>
                <w:rFonts w:ascii="Times New Roman" w:hAnsi="Times New Roman"/>
              </w:rPr>
            </w:pPr>
            <w:r w:rsidRPr="00FC3C1F">
              <w:rPr>
                <w:rFonts w:ascii="Times New Roman" w:hAnsi="Times New Roman"/>
              </w:rPr>
              <w:t>16K0F3E / 11K0F3E (аналоговий режим)</w:t>
            </w:r>
          </w:p>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7K60FXE, 7K60FXD (цифровий режим)</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301"/>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spacing w:after="0" w:line="240" w:lineRule="auto"/>
              <w:ind w:left="25"/>
              <w:rPr>
                <w:rFonts w:ascii="Times New Roman" w:eastAsia="Times New Roman" w:hAnsi="Times New Roman" w:cs="Times New Roman"/>
                <w:lang w:eastAsia="uk-UA"/>
              </w:rPr>
            </w:pPr>
            <w:r>
              <w:rPr>
                <w:rFonts w:ascii="Times New Roman" w:eastAsia="Times New Roman" w:hAnsi="Times New Roman" w:cs="Times New Roman"/>
                <w:lang w:eastAsia="uk-UA"/>
              </w:rPr>
              <w:t>Крок сітки частот</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pPr>
            <w:r w:rsidRPr="00FC3C1F">
              <w:rPr>
                <w:rFonts w:ascii="Times New Roman" w:hAnsi="Times New Roman"/>
                <w:color w:val="000000"/>
              </w:rPr>
              <w:t xml:space="preserve">25 </w:t>
            </w:r>
            <w:proofErr w:type="spellStart"/>
            <w:r w:rsidRPr="00FC3C1F">
              <w:rPr>
                <w:rFonts w:ascii="Times New Roman" w:hAnsi="Times New Roman"/>
                <w:color w:val="000000"/>
              </w:rPr>
              <w:t>кГц</w:t>
            </w:r>
            <w:proofErr w:type="spellEnd"/>
            <w:r w:rsidRPr="00FC3C1F">
              <w:rPr>
                <w:rFonts w:ascii="Times New Roman" w:hAnsi="Times New Roman"/>
                <w:color w:val="000000"/>
              </w:rPr>
              <w:t xml:space="preserve"> / 12,5 </w:t>
            </w:r>
            <w:proofErr w:type="spellStart"/>
            <w:r w:rsidRPr="00FC3C1F">
              <w:rPr>
                <w:rFonts w:ascii="Times New Roman" w:hAnsi="Times New Roman"/>
                <w:color w:val="000000"/>
              </w:rPr>
              <w:t>кГц</w:t>
            </w:r>
            <w:proofErr w:type="spellEnd"/>
            <w:r w:rsidRPr="00FC3C1F">
              <w:rPr>
                <w:rFonts w:ascii="Times New Roman" w:hAnsi="Times New Roman"/>
                <w:color w:val="000000"/>
              </w:rPr>
              <w:t xml:space="preserve"> (сумісність з наявними радіостанціями)</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296"/>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spacing w:after="0" w:line="240" w:lineRule="auto"/>
              <w:ind w:left="25"/>
              <w:rPr>
                <w:rFonts w:ascii="Times New Roman" w:eastAsia="Times New Roman" w:hAnsi="Times New Roman" w:cs="Times New Roman"/>
                <w:lang w:eastAsia="uk-UA"/>
              </w:rPr>
            </w:pPr>
            <w:r>
              <w:rPr>
                <w:rFonts w:ascii="Times New Roman" w:eastAsia="Times New Roman" w:hAnsi="Times New Roman" w:cs="Times New Roman"/>
                <w:lang w:eastAsia="uk-UA"/>
              </w:rPr>
              <w:t>Стабільність частоти</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 xml:space="preserve">±0,5 </w:t>
            </w:r>
            <w:proofErr w:type="spellStart"/>
            <w:r w:rsidRPr="00FC3C1F">
              <w:rPr>
                <w:rFonts w:ascii="Times New Roman" w:hAnsi="Times New Roman"/>
                <w:color w:val="000000"/>
              </w:rPr>
              <w:t>ppm</w:t>
            </w:r>
            <w:proofErr w:type="spellEnd"/>
            <w:r w:rsidRPr="00FC3C1F">
              <w:rPr>
                <w:rFonts w:ascii="Times New Roman" w:hAnsi="Times New Roman"/>
                <w:color w:val="000000"/>
              </w:rPr>
              <w:t xml:space="preserve"> (не гірше)</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261"/>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spacing w:after="0" w:line="240" w:lineRule="auto"/>
              <w:ind w:left="25"/>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Кількість програмованих каналів пам’яті</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pPr>
            <w:r w:rsidRPr="00FC3C1F">
              <w:rPr>
                <w:rFonts w:ascii="Times New Roman" w:hAnsi="Times New Roman"/>
                <w:color w:val="000000"/>
              </w:rPr>
              <w:t>16 (не менше)</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112"/>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spacing w:after="0" w:line="240" w:lineRule="auto"/>
              <w:ind w:left="25"/>
              <w:rPr>
                <w:rFonts w:ascii="Times New Roman" w:eastAsia="Times New Roman" w:hAnsi="Times New Roman" w:cs="Times New Roman"/>
                <w:lang w:eastAsia="uk-UA"/>
              </w:rPr>
            </w:pPr>
            <w:r>
              <w:rPr>
                <w:rFonts w:ascii="Times New Roman" w:hAnsi="Times New Roman"/>
                <w:color w:val="000000"/>
              </w:rPr>
              <w:t>Діапазон робочих температур</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від –30°C  до +60°C</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22"/>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spacing w:after="0" w:line="240" w:lineRule="auto"/>
              <w:ind w:left="25"/>
              <w:rPr>
                <w:rFonts w:ascii="Times New Roman" w:eastAsia="Times New Roman" w:hAnsi="Times New Roman" w:cs="Times New Roman"/>
                <w:lang w:eastAsia="uk-UA"/>
              </w:rPr>
            </w:pPr>
            <w:r>
              <w:rPr>
                <w:rFonts w:ascii="Times New Roman" w:hAnsi="Times New Roman"/>
                <w:color w:val="000000"/>
              </w:rPr>
              <w:t>Опір антени</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 xml:space="preserve">50 </w:t>
            </w:r>
            <w:proofErr w:type="spellStart"/>
            <w:r w:rsidRPr="00FC3C1F">
              <w:rPr>
                <w:rFonts w:ascii="Times New Roman" w:hAnsi="Times New Roman"/>
                <w:color w:val="000000"/>
              </w:rPr>
              <w:t>Ом</w:t>
            </w:r>
            <w:proofErr w:type="spellEnd"/>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22"/>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contextualSpacing/>
              <w:jc w:val="both"/>
              <w:rPr>
                <w:rFonts w:ascii="Calibri" w:eastAsia="Times New Roman" w:hAnsi="Calibri" w:cs="Times New Roman"/>
              </w:rPr>
            </w:pPr>
            <w:r w:rsidRPr="00A20003">
              <w:rPr>
                <w:rFonts w:ascii="Times New Roman" w:eastAsia="Times New Roman" w:hAnsi="Times New Roman" w:cs="Times New Roman"/>
              </w:rPr>
              <w:t>Харак</w:t>
            </w:r>
            <w:r>
              <w:rPr>
                <w:rFonts w:ascii="Times New Roman" w:eastAsia="Times New Roman" w:hAnsi="Times New Roman" w:cs="Times New Roman"/>
              </w:rPr>
              <w:t>теристики приймача (чутливість)</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rPr>
                <w:rFonts w:ascii="Times New Roman" w:hAnsi="Times New Roman"/>
              </w:rPr>
            </w:pPr>
            <w:r w:rsidRPr="00FC3C1F">
              <w:rPr>
                <w:rFonts w:ascii="Times New Roman" w:hAnsi="Times New Roman"/>
              </w:rPr>
              <w:t xml:space="preserve">аналогова, 12 </w:t>
            </w:r>
            <w:proofErr w:type="spellStart"/>
            <w:r w:rsidRPr="00FC3C1F">
              <w:rPr>
                <w:rFonts w:ascii="Times New Roman" w:hAnsi="Times New Roman"/>
              </w:rPr>
              <w:t>дБ</w:t>
            </w:r>
            <w:proofErr w:type="spellEnd"/>
            <w:r w:rsidRPr="00FC3C1F">
              <w:rPr>
                <w:rFonts w:ascii="Times New Roman" w:hAnsi="Times New Roman"/>
              </w:rPr>
              <w:t xml:space="preserve"> SINAD: 0,28 </w:t>
            </w:r>
            <w:proofErr w:type="spellStart"/>
            <w:r w:rsidRPr="00FC3C1F">
              <w:rPr>
                <w:rFonts w:ascii="Times New Roman" w:hAnsi="Times New Roman"/>
              </w:rPr>
              <w:t>мкВ</w:t>
            </w:r>
            <w:proofErr w:type="spellEnd"/>
            <w:r w:rsidRPr="00FC3C1F">
              <w:rPr>
                <w:rFonts w:ascii="Times New Roman" w:hAnsi="Times New Roman"/>
              </w:rPr>
              <w:t xml:space="preserve"> (не гірше)</w:t>
            </w:r>
          </w:p>
          <w:p w:rsidR="00885381" w:rsidRPr="00FC3C1F" w:rsidRDefault="00885381" w:rsidP="00885381">
            <w:pPr>
              <w:contextualSpacing/>
              <w:jc w:val="both"/>
            </w:pPr>
            <w:r w:rsidRPr="00FC3C1F">
              <w:rPr>
                <w:rFonts w:ascii="Times New Roman" w:hAnsi="Times New Roman"/>
              </w:rPr>
              <w:t xml:space="preserve">цифрова, 5% BER: 0,25 </w:t>
            </w:r>
            <w:proofErr w:type="spellStart"/>
            <w:r w:rsidRPr="00FC3C1F">
              <w:rPr>
                <w:rFonts w:ascii="Times New Roman" w:hAnsi="Times New Roman"/>
              </w:rPr>
              <w:t>мкВ</w:t>
            </w:r>
            <w:proofErr w:type="spellEnd"/>
            <w:r w:rsidRPr="00FC3C1F">
              <w:rPr>
                <w:rFonts w:ascii="Times New Roman" w:hAnsi="Times New Roman"/>
              </w:rPr>
              <w:t xml:space="preserve"> (не гірше)</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46"/>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contextualSpacing/>
              <w:jc w:val="both"/>
              <w:rPr>
                <w:rFonts w:ascii="Times New Roman" w:eastAsia="Times New Roman" w:hAnsi="Times New Roman" w:cs="Times New Roman"/>
                <w:color w:val="000000"/>
              </w:rPr>
            </w:pPr>
            <w:r w:rsidRPr="00A20003">
              <w:rPr>
                <w:rFonts w:ascii="Times New Roman" w:eastAsia="Times New Roman" w:hAnsi="Times New Roman" w:cs="Times New Roman"/>
                <w:color w:val="000000"/>
              </w:rPr>
              <w:t>Характеристики пере</w:t>
            </w:r>
            <w:r>
              <w:rPr>
                <w:rFonts w:ascii="Times New Roman" w:eastAsia="Times New Roman" w:hAnsi="Times New Roman" w:cs="Times New Roman"/>
                <w:color w:val="000000"/>
              </w:rPr>
              <w:t>давача</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вихідна потужність — 1-50 Вт (не менше) при 100% режимі роботи ретранслятора (функція, що програмується)</w:t>
            </w:r>
          </w:p>
          <w:p w:rsidR="00885381" w:rsidRPr="00FC3C1F" w:rsidRDefault="00885381" w:rsidP="00885381">
            <w:pPr>
              <w:contextualSpacing/>
              <w:jc w:val="both"/>
              <w:rPr>
                <w:rFonts w:ascii="Times New Roman" w:hAnsi="Times New Roman"/>
                <w:color w:val="000000"/>
              </w:rPr>
            </w:pPr>
            <w:r w:rsidRPr="00FC3C1F">
              <w:rPr>
                <w:rFonts w:ascii="Times New Roman" w:hAnsi="Times New Roman"/>
                <w:color w:val="000000"/>
              </w:rPr>
              <w:t xml:space="preserve">обмеження модуляції: ±2,5 </w:t>
            </w:r>
            <w:proofErr w:type="spellStart"/>
            <w:r w:rsidRPr="00FC3C1F">
              <w:rPr>
                <w:rFonts w:ascii="Times New Roman" w:hAnsi="Times New Roman"/>
                <w:color w:val="000000"/>
              </w:rPr>
              <w:t>кГц</w:t>
            </w:r>
            <w:proofErr w:type="spellEnd"/>
            <w:r w:rsidRPr="00FC3C1F">
              <w:rPr>
                <w:rFonts w:ascii="Times New Roman" w:hAnsi="Times New Roman"/>
                <w:color w:val="000000"/>
              </w:rPr>
              <w:t xml:space="preserve"> при 12,5 </w:t>
            </w:r>
            <w:proofErr w:type="spellStart"/>
            <w:r w:rsidRPr="00FC3C1F">
              <w:rPr>
                <w:rFonts w:ascii="Times New Roman" w:hAnsi="Times New Roman"/>
                <w:color w:val="000000"/>
              </w:rPr>
              <w:t>кГц</w:t>
            </w:r>
            <w:proofErr w:type="spellEnd"/>
            <w:r w:rsidRPr="00FC3C1F">
              <w:rPr>
                <w:rFonts w:ascii="Times New Roman" w:hAnsi="Times New Roman"/>
                <w:color w:val="000000"/>
              </w:rPr>
              <w:t xml:space="preserve">; ±5,0 </w:t>
            </w:r>
            <w:proofErr w:type="spellStart"/>
            <w:r w:rsidRPr="00FC3C1F">
              <w:rPr>
                <w:rFonts w:ascii="Times New Roman" w:hAnsi="Times New Roman"/>
                <w:color w:val="000000"/>
              </w:rPr>
              <w:t>кГц</w:t>
            </w:r>
            <w:proofErr w:type="spellEnd"/>
            <w:r w:rsidRPr="00FC3C1F">
              <w:rPr>
                <w:rFonts w:ascii="Times New Roman" w:hAnsi="Times New Roman"/>
                <w:color w:val="000000"/>
              </w:rPr>
              <w:t xml:space="preserve"> при 25 </w:t>
            </w:r>
            <w:proofErr w:type="spellStart"/>
            <w:r w:rsidRPr="00FC3C1F">
              <w:rPr>
                <w:rFonts w:ascii="Times New Roman" w:hAnsi="Times New Roman"/>
                <w:color w:val="000000"/>
              </w:rPr>
              <w:t>кГц</w:t>
            </w:r>
            <w:proofErr w:type="spellEnd"/>
            <w:r w:rsidRPr="00FC3C1F">
              <w:rPr>
                <w:rFonts w:ascii="Times New Roman" w:hAnsi="Times New Roman"/>
                <w:color w:val="000000"/>
              </w:rPr>
              <w:t xml:space="preserve">  (не гірше)</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885381" w:rsidRPr="00A20003" w:rsidTr="009B11BD">
        <w:trPr>
          <w:trHeight w:val="124"/>
        </w:trPr>
        <w:tc>
          <w:tcPr>
            <w:tcW w:w="2981" w:type="dxa"/>
            <w:tcBorders>
              <w:top w:val="nil"/>
              <w:left w:val="single" w:sz="4" w:space="0" w:color="000000"/>
              <w:bottom w:val="single" w:sz="4" w:space="0" w:color="000000"/>
              <w:right w:val="single" w:sz="4" w:space="0" w:color="000000"/>
            </w:tcBorders>
            <w:tcMar>
              <w:top w:w="88" w:type="dxa"/>
              <w:left w:w="88" w:type="dxa"/>
              <w:bottom w:w="88" w:type="dxa"/>
              <w:right w:w="88" w:type="dxa"/>
            </w:tcMar>
          </w:tcPr>
          <w:p w:rsidR="00885381" w:rsidRPr="00A20003" w:rsidRDefault="00885381" w:rsidP="00885381">
            <w:pPr>
              <w:spacing w:after="0" w:line="240" w:lineRule="auto"/>
              <w:ind w:left="25"/>
              <w:rPr>
                <w:rFonts w:ascii="Times New Roman" w:eastAsia="Times New Roman" w:hAnsi="Times New Roman" w:cs="Times New Roman"/>
                <w:lang w:eastAsia="uk-UA"/>
              </w:rPr>
            </w:pPr>
            <w:r>
              <w:rPr>
                <w:rFonts w:ascii="Times New Roman" w:hAnsi="Times New Roman"/>
              </w:rPr>
              <w:t>Підтримка сервісів</w:t>
            </w:r>
          </w:p>
        </w:tc>
        <w:tc>
          <w:tcPr>
            <w:tcW w:w="4991" w:type="dxa"/>
            <w:gridSpan w:val="2"/>
            <w:tcBorders>
              <w:left w:val="single" w:sz="4" w:space="0" w:color="000000"/>
              <w:bottom w:val="single" w:sz="4" w:space="0" w:color="000000"/>
              <w:right w:val="single" w:sz="4" w:space="0" w:color="000000"/>
            </w:tcBorders>
            <w:tcMar>
              <w:top w:w="88" w:type="dxa"/>
              <w:left w:w="88" w:type="dxa"/>
              <w:bottom w:w="88" w:type="dxa"/>
              <w:right w:w="88" w:type="dxa"/>
            </w:tcMar>
          </w:tcPr>
          <w:p w:rsidR="00885381" w:rsidRPr="00FC3C1F" w:rsidRDefault="00885381" w:rsidP="00885381">
            <w:pPr>
              <w:contextualSpacing/>
              <w:jc w:val="both"/>
            </w:pPr>
            <w:r w:rsidRPr="00FC3C1F">
              <w:rPr>
                <w:rFonts w:ascii="Times New Roman" w:hAnsi="Times New Roman"/>
              </w:rPr>
              <w:t>робота в аналоговому, цифровому та змішаному (автоматичний перехід між аналоговим та цифровим) режимах;</w:t>
            </w:r>
          </w:p>
          <w:p w:rsidR="00885381" w:rsidRPr="00FC3C1F" w:rsidRDefault="00885381" w:rsidP="00885381">
            <w:pPr>
              <w:contextualSpacing/>
              <w:jc w:val="both"/>
            </w:pPr>
            <w:r w:rsidRPr="00FC3C1F">
              <w:rPr>
                <w:rFonts w:ascii="Times New Roman" w:hAnsi="Times New Roman"/>
              </w:rPr>
              <w:t xml:space="preserve">можливість роботи у </w:t>
            </w:r>
            <w:proofErr w:type="spellStart"/>
            <w:r w:rsidRPr="00FC3C1F">
              <w:rPr>
                <w:rFonts w:ascii="Times New Roman" w:hAnsi="Times New Roman"/>
              </w:rPr>
              <w:t>транкінговому</w:t>
            </w:r>
            <w:proofErr w:type="spellEnd"/>
            <w:r w:rsidRPr="00FC3C1F">
              <w:rPr>
                <w:rFonts w:ascii="Times New Roman" w:hAnsi="Times New Roman"/>
              </w:rPr>
              <w:t xml:space="preserve"> режимі (при додатковій активації функції);</w:t>
            </w:r>
          </w:p>
          <w:p w:rsidR="00885381" w:rsidRPr="00FC3C1F" w:rsidRDefault="00885381" w:rsidP="00885381">
            <w:pPr>
              <w:contextualSpacing/>
              <w:jc w:val="both"/>
            </w:pPr>
            <w:r w:rsidRPr="00FC3C1F">
              <w:rPr>
                <w:rFonts w:ascii="Times New Roman" w:hAnsi="Times New Roman"/>
              </w:rPr>
              <w:t xml:space="preserve">відображення на органах індикації наступних  станів та подій: активований режим «аналог/цифра», індикація прийому/передачі в аналоговому/цифровому режимі по </w:t>
            </w:r>
            <w:proofErr w:type="spellStart"/>
            <w:r w:rsidRPr="00FC3C1F">
              <w:rPr>
                <w:rFonts w:ascii="Times New Roman" w:hAnsi="Times New Roman"/>
              </w:rPr>
              <w:t>таймслотах</w:t>
            </w:r>
            <w:proofErr w:type="spellEnd"/>
            <w:r w:rsidRPr="00FC3C1F">
              <w:rPr>
                <w:rFonts w:ascii="Times New Roman" w:hAnsi="Times New Roman"/>
              </w:rPr>
              <w:t>;</w:t>
            </w:r>
          </w:p>
          <w:p w:rsidR="00885381" w:rsidRPr="00FC3C1F" w:rsidRDefault="00885381" w:rsidP="00885381">
            <w:pPr>
              <w:contextualSpacing/>
              <w:jc w:val="both"/>
            </w:pPr>
            <w:r w:rsidRPr="00FC3C1F">
              <w:rPr>
                <w:rFonts w:ascii="Times New Roman" w:hAnsi="Times New Roman"/>
              </w:rPr>
              <w:t xml:space="preserve">підтримка мережевого інтерфейсу передачі мови та даних по IP для роботи в АРМ </w:t>
            </w:r>
            <w:proofErr w:type="spellStart"/>
            <w:r w:rsidRPr="00FC3C1F">
              <w:rPr>
                <w:rFonts w:ascii="Times New Roman" w:hAnsi="Times New Roman"/>
              </w:rPr>
              <w:t>диспетчерских</w:t>
            </w:r>
            <w:proofErr w:type="spellEnd"/>
            <w:r w:rsidRPr="00FC3C1F">
              <w:rPr>
                <w:rFonts w:ascii="Times New Roman" w:hAnsi="Times New Roman"/>
              </w:rPr>
              <w:t xml:space="preserve"> комплексів</w:t>
            </w:r>
          </w:p>
        </w:tc>
        <w:tc>
          <w:tcPr>
            <w:tcW w:w="2213" w:type="dxa"/>
            <w:tcBorders>
              <w:top w:val="nil"/>
              <w:left w:val="nil"/>
              <w:bottom w:val="single" w:sz="4" w:space="0" w:color="000000"/>
              <w:right w:val="single" w:sz="4" w:space="0" w:color="000000"/>
            </w:tcBorders>
          </w:tcPr>
          <w:p w:rsidR="00885381" w:rsidRPr="00A20003" w:rsidRDefault="00885381" w:rsidP="00885381">
            <w:pPr>
              <w:spacing w:after="0" w:line="240" w:lineRule="auto"/>
              <w:ind w:left="25"/>
              <w:rPr>
                <w:rFonts w:ascii="Times New Roman" w:eastAsia="Times New Roman" w:hAnsi="Times New Roman" w:cs="Times New Roman"/>
                <w:bdr w:val="none" w:sz="0" w:space="0" w:color="auto" w:frame="1"/>
                <w:lang w:eastAsia="uk-UA"/>
              </w:rPr>
            </w:pPr>
          </w:p>
        </w:tc>
      </w:tr>
      <w:tr w:rsidR="00A20003" w:rsidRPr="00A20003" w:rsidTr="00885381">
        <w:trPr>
          <w:trHeight w:val="1244"/>
        </w:trPr>
        <w:tc>
          <w:tcPr>
            <w:tcW w:w="7972" w:type="dxa"/>
            <w:gridSpan w:val="3"/>
            <w:tcBorders>
              <w:top w:val="nil"/>
              <w:left w:val="single" w:sz="4" w:space="0" w:color="000000"/>
              <w:bottom w:val="single" w:sz="4" w:space="0" w:color="auto"/>
              <w:right w:val="single" w:sz="4" w:space="0" w:color="000000"/>
            </w:tcBorders>
            <w:tcMar>
              <w:top w:w="88" w:type="dxa"/>
              <w:left w:w="88" w:type="dxa"/>
              <w:bottom w:w="88" w:type="dxa"/>
              <w:right w:w="88" w:type="dxa"/>
            </w:tcMar>
            <w:hideMark/>
          </w:tcPr>
          <w:p w:rsidR="00A20003" w:rsidRPr="00A20003" w:rsidRDefault="00A20003" w:rsidP="00A20003">
            <w:pPr>
              <w:spacing w:after="0" w:line="240" w:lineRule="auto"/>
              <w:ind w:left="25"/>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 </w:t>
            </w:r>
            <w:r w:rsidRPr="00A20003">
              <w:rPr>
                <w:rFonts w:ascii="Times New Roman" w:eastAsia="Times New Roman" w:hAnsi="Times New Roman" w:cs="Times New Roman"/>
                <w:b/>
                <w:bCs/>
                <w:bdr w:val="none" w:sz="0" w:space="0" w:color="auto" w:frame="1"/>
                <w:lang w:eastAsia="uk-UA"/>
              </w:rPr>
              <w:t>КОМПЛЕКТ ПОСТАВКИ:</w:t>
            </w:r>
          </w:p>
          <w:p w:rsidR="00885381" w:rsidRPr="00A8586D" w:rsidRDefault="00A20003" w:rsidP="00885381">
            <w:pPr>
              <w:pStyle w:val="a3"/>
              <w:numPr>
                <w:ilvl w:val="0"/>
                <w:numId w:val="2"/>
              </w:numPr>
              <w:ind w:right="-57"/>
              <w:rPr>
                <w:rFonts w:ascii="Times New Roman" w:hAnsi="Times New Roman" w:cs="Times New Roman"/>
              </w:rPr>
            </w:pPr>
            <w:r w:rsidRPr="00A20003">
              <w:rPr>
                <w:rFonts w:ascii="Times New Roman" w:eastAsia="Times New Roman" w:hAnsi="Times New Roman" w:cs="Times New Roman"/>
                <w:lang w:eastAsia="uk-UA"/>
              </w:rPr>
              <w:t> </w:t>
            </w:r>
            <w:r w:rsidR="00885381" w:rsidRPr="00A8586D">
              <w:rPr>
                <w:rFonts w:ascii="Times New Roman" w:hAnsi="Times New Roman" w:cs="Times New Roman"/>
              </w:rPr>
              <w:t xml:space="preserve">Ретранслятор </w:t>
            </w:r>
            <w:r w:rsidR="00885381">
              <w:rPr>
                <w:rFonts w:ascii="Times New Roman" w:hAnsi="Times New Roman" w:cs="Times New Roman"/>
                <w:lang w:val="en-US"/>
              </w:rPr>
              <w:t>SLR5500</w:t>
            </w:r>
            <w:r w:rsidR="00885381" w:rsidRPr="00A8586D">
              <w:rPr>
                <w:rFonts w:ascii="Times New Roman" w:hAnsi="Times New Roman" w:cs="Times New Roman"/>
              </w:rPr>
              <w:t xml:space="preserve"> </w:t>
            </w:r>
            <w:r w:rsidR="00885381">
              <w:rPr>
                <w:rFonts w:ascii="Times New Roman" w:hAnsi="Times New Roman" w:cs="Times New Roman"/>
                <w:lang w:val="en-US"/>
              </w:rPr>
              <w:t>V</w:t>
            </w:r>
            <w:r w:rsidR="00885381" w:rsidRPr="00A8586D">
              <w:rPr>
                <w:rFonts w:ascii="Times New Roman" w:hAnsi="Times New Roman" w:cs="Times New Roman"/>
              </w:rPr>
              <w:t>HF</w:t>
            </w:r>
            <w:r w:rsidR="00885381">
              <w:rPr>
                <w:rFonts w:ascii="Times New Roman" w:hAnsi="Times New Roman" w:cs="Times New Roman"/>
              </w:rPr>
              <w:t xml:space="preserve"> – 1 шт.</w:t>
            </w:r>
          </w:p>
          <w:p w:rsidR="00885381" w:rsidRPr="00A8586D" w:rsidRDefault="00885381" w:rsidP="00885381">
            <w:pPr>
              <w:pStyle w:val="a3"/>
              <w:numPr>
                <w:ilvl w:val="0"/>
                <w:numId w:val="2"/>
              </w:numPr>
              <w:ind w:right="-57"/>
              <w:rPr>
                <w:rFonts w:ascii="Times New Roman" w:hAnsi="Times New Roman" w:cs="Times New Roman"/>
              </w:rPr>
            </w:pPr>
            <w:proofErr w:type="spellStart"/>
            <w:r w:rsidRPr="00A8586D">
              <w:rPr>
                <w:rFonts w:ascii="Times New Roman" w:hAnsi="Times New Roman" w:cs="Times New Roman"/>
              </w:rPr>
              <w:t>Дуплексер</w:t>
            </w:r>
            <w:proofErr w:type="spellEnd"/>
            <w:r w:rsidRPr="00A8586D">
              <w:rPr>
                <w:rFonts w:ascii="Times New Roman" w:hAnsi="Times New Roman" w:cs="Times New Roman"/>
              </w:rPr>
              <w:t xml:space="preserve"> </w:t>
            </w:r>
            <w:r>
              <w:rPr>
                <w:rFonts w:ascii="Times New Roman" w:hAnsi="Times New Roman" w:cs="Times New Roman"/>
              </w:rPr>
              <w:t xml:space="preserve">– 1 </w:t>
            </w:r>
            <w:proofErr w:type="spellStart"/>
            <w:r>
              <w:rPr>
                <w:rFonts w:ascii="Times New Roman" w:hAnsi="Times New Roman" w:cs="Times New Roman"/>
              </w:rPr>
              <w:t>шт</w:t>
            </w:r>
            <w:proofErr w:type="spellEnd"/>
            <w:r w:rsidRPr="00A8586D">
              <w:rPr>
                <w:rFonts w:ascii="Times New Roman" w:hAnsi="Times New Roman" w:cs="Times New Roman"/>
              </w:rPr>
              <w:t>;</w:t>
            </w:r>
          </w:p>
          <w:p w:rsidR="00885381" w:rsidRPr="00A8586D" w:rsidRDefault="00885381" w:rsidP="00885381">
            <w:pPr>
              <w:pStyle w:val="a3"/>
              <w:numPr>
                <w:ilvl w:val="0"/>
                <w:numId w:val="2"/>
              </w:numPr>
              <w:ind w:right="-57"/>
              <w:rPr>
                <w:rFonts w:ascii="Times New Roman" w:hAnsi="Times New Roman" w:cs="Times New Roman"/>
              </w:rPr>
            </w:pPr>
            <w:r w:rsidRPr="00A8586D">
              <w:rPr>
                <w:rFonts w:ascii="Times New Roman" w:hAnsi="Times New Roman" w:cs="Times New Roman"/>
              </w:rPr>
              <w:t>Кабель підключення резервного АКБ</w:t>
            </w:r>
            <w:r>
              <w:rPr>
                <w:rFonts w:ascii="Times New Roman" w:hAnsi="Times New Roman" w:cs="Times New Roman"/>
              </w:rPr>
              <w:t xml:space="preserve"> – 1 шт.;</w:t>
            </w:r>
          </w:p>
          <w:p w:rsidR="00A20003" w:rsidRPr="00885381" w:rsidRDefault="00885381" w:rsidP="00885381">
            <w:pPr>
              <w:pStyle w:val="a3"/>
              <w:numPr>
                <w:ilvl w:val="0"/>
                <w:numId w:val="2"/>
              </w:numPr>
              <w:ind w:right="-57"/>
              <w:rPr>
                <w:rFonts w:ascii="Times New Roman" w:hAnsi="Times New Roman" w:cs="Times New Roman"/>
              </w:rPr>
            </w:pPr>
            <w:r w:rsidRPr="00A8586D">
              <w:rPr>
                <w:rFonts w:ascii="Times New Roman" w:hAnsi="Times New Roman" w:cs="Times New Roman"/>
              </w:rPr>
              <w:t>Набір перемичок для підключення дуплексного фільтру</w:t>
            </w:r>
            <w:r>
              <w:rPr>
                <w:rFonts w:ascii="Times New Roman" w:hAnsi="Times New Roman" w:cs="Times New Roman"/>
              </w:rPr>
              <w:t xml:space="preserve"> – 1 </w:t>
            </w:r>
            <w:proofErr w:type="spellStart"/>
            <w:r>
              <w:rPr>
                <w:rFonts w:ascii="Times New Roman" w:hAnsi="Times New Roman" w:cs="Times New Roman"/>
              </w:rPr>
              <w:t>коплект</w:t>
            </w:r>
            <w:proofErr w:type="spellEnd"/>
            <w:r>
              <w:rPr>
                <w:rFonts w:ascii="Times New Roman" w:hAnsi="Times New Roman" w:cs="Times New Roman"/>
              </w:rPr>
              <w:t>;</w:t>
            </w:r>
          </w:p>
        </w:tc>
        <w:tc>
          <w:tcPr>
            <w:tcW w:w="2213" w:type="dxa"/>
            <w:tcBorders>
              <w:top w:val="nil"/>
              <w:left w:val="single" w:sz="4" w:space="0" w:color="000000"/>
              <w:bottom w:val="single" w:sz="4" w:space="0" w:color="auto"/>
              <w:right w:val="single" w:sz="4" w:space="0" w:color="000000"/>
            </w:tcBorders>
          </w:tcPr>
          <w:p w:rsidR="00A20003" w:rsidRPr="00A20003" w:rsidRDefault="00A20003" w:rsidP="00A20003">
            <w:pPr>
              <w:spacing w:after="0" w:line="240" w:lineRule="auto"/>
              <w:ind w:left="25"/>
              <w:rPr>
                <w:rFonts w:ascii="Times New Roman" w:eastAsia="Times New Roman" w:hAnsi="Times New Roman" w:cs="Times New Roman"/>
                <w:lang w:eastAsia="uk-UA"/>
              </w:rPr>
            </w:pPr>
          </w:p>
        </w:tc>
      </w:tr>
      <w:tr w:rsidR="00A20003" w:rsidRPr="00A20003" w:rsidTr="00DA05CA">
        <w:trPr>
          <w:trHeight w:val="480"/>
        </w:trPr>
        <w:tc>
          <w:tcPr>
            <w:tcW w:w="3051" w:type="dxa"/>
            <w:gridSpan w:val="2"/>
            <w:tcBorders>
              <w:top w:val="single" w:sz="4" w:space="0" w:color="auto"/>
              <w:left w:val="single" w:sz="4" w:space="0" w:color="000000"/>
              <w:bottom w:val="single" w:sz="4" w:space="0" w:color="auto"/>
              <w:right w:val="single" w:sz="4" w:space="0" w:color="auto"/>
            </w:tcBorders>
            <w:tcMar>
              <w:top w:w="88" w:type="dxa"/>
              <w:left w:w="88" w:type="dxa"/>
              <w:bottom w:w="88" w:type="dxa"/>
              <w:right w:w="88" w:type="dxa"/>
            </w:tcMar>
            <w:vAlign w:val="center"/>
            <w:hideMark/>
          </w:tcPr>
          <w:p w:rsidR="00A20003" w:rsidRPr="00A20003" w:rsidRDefault="00A20003" w:rsidP="00A20003">
            <w:pPr>
              <w:widowControl w:val="0"/>
              <w:spacing w:after="0" w:line="240" w:lineRule="auto"/>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Країна походження**</w:t>
            </w:r>
          </w:p>
        </w:tc>
        <w:tc>
          <w:tcPr>
            <w:tcW w:w="4921" w:type="dxa"/>
            <w:tcBorders>
              <w:top w:val="single" w:sz="4" w:space="0" w:color="auto"/>
              <w:left w:val="single" w:sz="4" w:space="0" w:color="auto"/>
              <w:bottom w:val="single" w:sz="4" w:space="0" w:color="auto"/>
              <w:right w:val="single" w:sz="4" w:space="0" w:color="000000"/>
            </w:tcBorders>
            <w:vAlign w:val="center"/>
            <w:hideMark/>
          </w:tcPr>
          <w:p w:rsidR="00A20003" w:rsidRPr="00A20003" w:rsidRDefault="00A20003" w:rsidP="00A20003">
            <w:pPr>
              <w:spacing w:after="0" w:line="240" w:lineRule="auto"/>
              <w:rPr>
                <w:rFonts w:ascii="Times New Roman" w:eastAsia="Times New Roman" w:hAnsi="Times New Roman" w:cs="Times New Roman"/>
                <w:color w:val="000000"/>
                <w:lang w:eastAsia="uk-UA"/>
              </w:rPr>
            </w:pPr>
            <w:r w:rsidRPr="00A20003">
              <w:rPr>
                <w:rFonts w:ascii="Times New Roman" w:eastAsia="Times New Roman" w:hAnsi="Times New Roman" w:cs="Times New Roman"/>
                <w:color w:val="000000"/>
                <w:lang w:eastAsia="uk-UA"/>
              </w:rPr>
              <w:t>Не передбачено</w:t>
            </w:r>
          </w:p>
        </w:tc>
        <w:tc>
          <w:tcPr>
            <w:tcW w:w="2213" w:type="dxa"/>
            <w:tcBorders>
              <w:top w:val="single" w:sz="4" w:space="0" w:color="auto"/>
              <w:left w:val="single" w:sz="4" w:space="0" w:color="000000"/>
              <w:bottom w:val="single" w:sz="4" w:space="0" w:color="auto"/>
              <w:right w:val="single" w:sz="4" w:space="0" w:color="000000"/>
            </w:tcBorders>
            <w:vAlign w:val="center"/>
          </w:tcPr>
          <w:p w:rsidR="00A20003" w:rsidRPr="00A20003" w:rsidRDefault="00A20003" w:rsidP="00A20003">
            <w:pPr>
              <w:suppressAutoHyphens/>
              <w:spacing w:after="0" w:line="240" w:lineRule="auto"/>
              <w:rPr>
                <w:rFonts w:ascii="Times New Roman" w:eastAsia="Times New Roman" w:hAnsi="Times New Roman" w:cs="Times New Roman"/>
                <w:highlight w:val="yellow"/>
                <w:lang w:eastAsia="ar-SA"/>
              </w:rPr>
            </w:pPr>
          </w:p>
        </w:tc>
      </w:tr>
      <w:tr w:rsidR="00A20003" w:rsidRPr="00A20003" w:rsidTr="00DA05CA">
        <w:trPr>
          <w:trHeight w:val="480"/>
        </w:trPr>
        <w:tc>
          <w:tcPr>
            <w:tcW w:w="3051" w:type="dxa"/>
            <w:gridSpan w:val="2"/>
            <w:tcBorders>
              <w:top w:val="single" w:sz="4" w:space="0" w:color="auto"/>
              <w:left w:val="single" w:sz="4" w:space="0" w:color="000000"/>
              <w:bottom w:val="single" w:sz="4" w:space="0" w:color="auto"/>
              <w:right w:val="single" w:sz="4" w:space="0" w:color="auto"/>
            </w:tcBorders>
            <w:tcMar>
              <w:top w:w="88" w:type="dxa"/>
              <w:left w:w="88" w:type="dxa"/>
              <w:bottom w:w="88" w:type="dxa"/>
              <w:right w:w="88" w:type="dxa"/>
            </w:tcMar>
            <w:vAlign w:val="center"/>
            <w:hideMark/>
          </w:tcPr>
          <w:p w:rsidR="00A20003" w:rsidRPr="00A20003" w:rsidRDefault="00A20003" w:rsidP="00A20003">
            <w:pPr>
              <w:widowControl w:val="0"/>
              <w:spacing w:after="0" w:line="240" w:lineRule="auto"/>
              <w:rPr>
                <w:rFonts w:ascii="Times New Roman" w:eastAsia="Times New Roman" w:hAnsi="Times New Roman" w:cs="Times New Roman"/>
                <w:lang w:eastAsia="ru-RU"/>
              </w:rPr>
            </w:pPr>
            <w:r w:rsidRPr="00A20003">
              <w:rPr>
                <w:rFonts w:ascii="Times New Roman" w:eastAsia="Times New Roman" w:hAnsi="Times New Roman" w:cs="Times New Roman"/>
                <w:color w:val="000000"/>
                <w:lang w:eastAsia="uk-UA"/>
              </w:rPr>
              <w:t>Посилання на сайт виробника чи власний (за наявності)</w:t>
            </w:r>
          </w:p>
        </w:tc>
        <w:tc>
          <w:tcPr>
            <w:tcW w:w="4921" w:type="dxa"/>
            <w:tcBorders>
              <w:top w:val="single" w:sz="4" w:space="0" w:color="auto"/>
              <w:left w:val="single" w:sz="4" w:space="0" w:color="auto"/>
              <w:bottom w:val="single" w:sz="4" w:space="0" w:color="auto"/>
              <w:right w:val="single" w:sz="4" w:space="0" w:color="000000"/>
            </w:tcBorders>
            <w:vAlign w:val="center"/>
            <w:hideMark/>
          </w:tcPr>
          <w:p w:rsidR="00A20003" w:rsidRPr="00A20003" w:rsidRDefault="00A20003" w:rsidP="00A20003">
            <w:pPr>
              <w:spacing w:after="0" w:line="240" w:lineRule="auto"/>
              <w:rPr>
                <w:rFonts w:ascii="Times New Roman" w:eastAsia="Times New Roman" w:hAnsi="Times New Roman" w:cs="Times New Roman"/>
                <w:color w:val="000000"/>
                <w:lang w:eastAsia="uk-UA"/>
              </w:rPr>
            </w:pPr>
            <w:r w:rsidRPr="00A20003">
              <w:rPr>
                <w:rFonts w:ascii="Times New Roman" w:eastAsia="Times New Roman" w:hAnsi="Times New Roman" w:cs="Times New Roman"/>
                <w:color w:val="000000"/>
                <w:lang w:eastAsia="uk-UA"/>
              </w:rPr>
              <w:t>Не передбачено</w:t>
            </w:r>
          </w:p>
        </w:tc>
        <w:tc>
          <w:tcPr>
            <w:tcW w:w="2213" w:type="dxa"/>
            <w:tcBorders>
              <w:top w:val="single" w:sz="4" w:space="0" w:color="auto"/>
              <w:left w:val="single" w:sz="4" w:space="0" w:color="000000"/>
              <w:bottom w:val="single" w:sz="4" w:space="0" w:color="auto"/>
              <w:right w:val="single" w:sz="4" w:space="0" w:color="000000"/>
            </w:tcBorders>
            <w:vAlign w:val="center"/>
          </w:tcPr>
          <w:p w:rsidR="00A20003" w:rsidRPr="00A20003" w:rsidRDefault="00A20003" w:rsidP="00A20003">
            <w:pPr>
              <w:suppressAutoHyphens/>
              <w:spacing w:after="0" w:line="240" w:lineRule="auto"/>
              <w:rPr>
                <w:rFonts w:ascii="Times New Roman" w:eastAsia="Times New Roman" w:hAnsi="Times New Roman" w:cs="Times New Roman"/>
                <w:highlight w:val="yellow"/>
                <w:lang w:eastAsia="ar-SA"/>
              </w:rPr>
            </w:pPr>
          </w:p>
        </w:tc>
      </w:tr>
    </w:tbl>
    <w:p w:rsidR="00A20003" w:rsidRPr="00A20003" w:rsidRDefault="00A20003" w:rsidP="00A20003">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lang w:eastAsia="ru-RU"/>
        </w:rPr>
      </w:pPr>
      <w:r w:rsidRPr="00A20003">
        <w:rPr>
          <w:rFonts w:ascii="Times New Roman" w:eastAsia="Times New Roman" w:hAnsi="Times New Roman" w:cs="Times New Roman"/>
          <w:bCs/>
          <w:lang w:eastAsia="uk-UA"/>
        </w:rPr>
        <w:t xml:space="preserve"> </w:t>
      </w:r>
    </w:p>
    <w:p w:rsidR="00A20003" w:rsidRPr="00A20003" w:rsidRDefault="00A20003" w:rsidP="00A20003">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i/>
          <w:lang w:eastAsia="zh-CN"/>
        </w:rPr>
      </w:pPr>
      <w:r w:rsidRPr="00A20003">
        <w:rPr>
          <w:rFonts w:ascii="Times New Roman" w:eastAsia="Times New Roman" w:hAnsi="Times New Roman" w:cs="Times New Roman"/>
          <w:b/>
          <w:i/>
          <w:lang w:eastAsia="zh-CN"/>
        </w:rPr>
        <w:t>Примітка 1:</w:t>
      </w:r>
    </w:p>
    <w:p w:rsidR="00A20003" w:rsidRPr="00A20003" w:rsidRDefault="00A20003" w:rsidP="00A20003">
      <w:pPr>
        <w:tabs>
          <w:tab w:val="left" w:pos="9639"/>
          <w:tab w:val="left" w:pos="10992"/>
          <w:tab w:val="left" w:pos="11908"/>
          <w:tab w:val="left" w:pos="12824"/>
          <w:tab w:val="left" w:pos="13740"/>
          <w:tab w:val="left" w:pos="14656"/>
        </w:tabs>
        <w:spacing w:after="0" w:line="240" w:lineRule="auto"/>
        <w:ind w:right="-1" w:firstLine="284"/>
        <w:jc w:val="both"/>
        <w:rPr>
          <w:rFonts w:ascii="Times New Roman" w:eastAsia="Times New Roman" w:hAnsi="Times New Roman" w:cs="Times New Roman"/>
          <w:b/>
          <w:i/>
          <w:lang w:eastAsia="zh-CN"/>
        </w:rPr>
      </w:pPr>
      <w:r w:rsidRPr="00A20003">
        <w:rPr>
          <w:rFonts w:ascii="Times New Roman" w:eastAsia="Times New Roman" w:hAnsi="Times New Roman" w:cs="Times New Roman"/>
          <w:b/>
          <w:i/>
          <w:lang w:eastAsia="zh-CN"/>
        </w:rPr>
        <w:t xml:space="preserve">* Учасник повинен 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w:t>
      </w:r>
      <w:r w:rsidRPr="00A20003">
        <w:rPr>
          <w:rFonts w:ascii="Times New Roman" w:eastAsia="Times New Roman" w:hAnsi="Times New Roman" w:cs="Times New Roman"/>
          <w:b/>
          <w:i/>
          <w:lang w:eastAsia="zh-CN"/>
        </w:rPr>
        <w:lastRenderedPageBreak/>
        <w:t xml:space="preserve">/ «не більше», «має бути», «повинен», «або еквівалент» тощо. У разі наявності у стовпці «Інформація про технічні та якісні характеристики предмета закупівлі, що пропонується учасником процедури в його тендерній пропозиції із зазначенням фактичних характеристик товару» відповідної технічної специфікації, яка заповнюється та надається учасником у складі тендерної пропозиції, виразів «не менше» / «не більше», «має бути», «повинен», «або еквівалент» тощо, зазначене буде розглядатися замовником як відсутність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У разі надання в тендерній пропозиції еквівалента предмету закупівлі учасник повинен вказати </w:t>
      </w:r>
      <w:r w:rsidRPr="00A20003">
        <w:rPr>
          <w:rFonts w:ascii="Times New Roman" w:eastAsia="Times New Roman" w:hAnsi="Times New Roman" w:cs="Times New Roman"/>
          <w:b/>
          <w:i/>
          <w:u w:val="single"/>
          <w:lang w:eastAsia="zh-CN"/>
        </w:rPr>
        <w:t>технічні характеристики запропонованого еквіваленту</w:t>
      </w:r>
      <w:r w:rsidRPr="00A20003">
        <w:rPr>
          <w:rFonts w:ascii="Times New Roman" w:eastAsia="Times New Roman" w:hAnsi="Times New Roman" w:cs="Times New Roman"/>
          <w:b/>
          <w:i/>
          <w:lang w:eastAsia="zh-CN"/>
        </w:rPr>
        <w:t xml:space="preserve"> з обов′язковим відображенням характеристик у Таблиці 1 цього Додатку. Всі технічні характеристики запропонованого товару повинні бути не гірші</w:t>
      </w:r>
      <w:r w:rsidRPr="00A20003">
        <w:rPr>
          <w:rFonts w:ascii="Times New Roman" w:eastAsia="Times New Roman" w:hAnsi="Times New Roman" w:cs="Times New Roman"/>
          <w:b/>
          <w:i/>
          <w:vertAlign w:val="superscript"/>
          <w:lang w:eastAsia="zh-CN"/>
        </w:rPr>
        <w:t>1</w:t>
      </w:r>
      <w:r w:rsidRPr="00A20003">
        <w:rPr>
          <w:rFonts w:ascii="Times New Roman" w:eastAsia="Times New Roman" w:hAnsi="Times New Roman" w:cs="Times New Roman"/>
          <w:b/>
          <w:i/>
          <w:lang w:eastAsia="zh-CN"/>
        </w:rPr>
        <w:t>, ніж у замовленому товарі.</w:t>
      </w:r>
    </w:p>
    <w:p w:rsidR="00A20003" w:rsidRPr="00A20003" w:rsidRDefault="00A20003" w:rsidP="00A20003">
      <w:pPr>
        <w:tabs>
          <w:tab w:val="left" w:pos="9639"/>
          <w:tab w:val="left" w:pos="10992"/>
          <w:tab w:val="left" w:pos="11908"/>
          <w:tab w:val="left" w:pos="12824"/>
          <w:tab w:val="left" w:pos="13740"/>
          <w:tab w:val="left" w:pos="14656"/>
        </w:tabs>
        <w:spacing w:after="0" w:line="240" w:lineRule="auto"/>
        <w:ind w:right="-1" w:firstLine="284"/>
        <w:jc w:val="both"/>
        <w:rPr>
          <w:rFonts w:ascii="Times New Roman" w:eastAsia="Times New Roman" w:hAnsi="Times New Roman" w:cs="Times New Roman"/>
          <w:b/>
          <w:i/>
          <w:lang w:eastAsia="zh-CN"/>
        </w:rPr>
      </w:pPr>
      <w:r w:rsidRPr="00A20003">
        <w:rPr>
          <w:rFonts w:ascii="Times New Roman" w:eastAsia="Times New Roman" w:hAnsi="Times New Roman" w:cs="Times New Roman"/>
          <w:b/>
          <w:i/>
          <w:color w:val="000000"/>
          <w:lang w:eastAsia="uk-UA"/>
        </w:rPr>
        <w:t>** Зазначається учасником процедури закупівлі.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A20003" w:rsidRPr="00A20003" w:rsidRDefault="00A20003" w:rsidP="00A20003">
      <w:pPr>
        <w:widowControl w:val="0"/>
        <w:tabs>
          <w:tab w:val="left" w:pos="9552"/>
        </w:tabs>
        <w:spacing w:after="0" w:line="240" w:lineRule="auto"/>
        <w:ind w:firstLine="180"/>
        <w:jc w:val="both"/>
        <w:textAlignment w:val="baseline"/>
        <w:rPr>
          <w:rFonts w:ascii="Times New Roman" w:eastAsia="Times New Roman" w:hAnsi="Times New Roman" w:cs="Times New Roman"/>
          <w:lang w:eastAsia="ru-RU"/>
        </w:rPr>
      </w:pPr>
      <w:r w:rsidRPr="00A20003">
        <w:rPr>
          <w:rFonts w:ascii="Times New Roman" w:eastAsia="Times New Roman" w:hAnsi="Times New Roman" w:cs="Times New Roman"/>
          <w:vertAlign w:val="superscript"/>
          <w:lang w:eastAsia="zh-CN"/>
        </w:rPr>
        <w:t>1</w:t>
      </w:r>
      <w:r w:rsidRPr="00A20003">
        <w:rPr>
          <w:rFonts w:ascii="Times New Roman" w:eastAsia="Times New Roman" w:hAnsi="Times New Roman" w:cs="Times New Roman"/>
          <w:lang w:eastAsia="zh-CN"/>
        </w:rPr>
        <w:t xml:space="preserve"> -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некомплектний тощо).</w:t>
      </w:r>
    </w:p>
    <w:p w:rsidR="00A20003" w:rsidRPr="00A20003" w:rsidRDefault="00A20003" w:rsidP="00A20003">
      <w:pPr>
        <w:autoSpaceDN w:val="0"/>
        <w:spacing w:after="0" w:line="240" w:lineRule="auto"/>
        <w:ind w:right="-1"/>
        <w:jc w:val="both"/>
        <w:rPr>
          <w:rFonts w:ascii="Times New Roman" w:eastAsia="Times New Roman" w:hAnsi="Times New Roman" w:cs="Times New Roman"/>
          <w:b/>
          <w:lang w:eastAsia="ru-RU"/>
        </w:rPr>
      </w:pPr>
      <w:r w:rsidRPr="00A20003">
        <w:rPr>
          <w:rFonts w:ascii="Times New Roman" w:eastAsia="Calibri" w:hAnsi="Times New Roman" w:cs="Times New Roman"/>
          <w:lang w:eastAsia="zh-CN"/>
        </w:rPr>
        <w:t>Не гірше вважаються будь-які технічні характеристики товару, які не зазначені замовником у цьому Додатку як «гірший товар»</w:t>
      </w:r>
      <w:r w:rsidRPr="00A20003">
        <w:rPr>
          <w:rFonts w:ascii="Times New Roman" w:eastAsia="Calibri" w:hAnsi="Times New Roman" w:cs="Times New Roman"/>
          <w:vertAlign w:val="superscript"/>
          <w:lang w:eastAsia="zh-CN"/>
        </w:rPr>
        <w:t>1</w:t>
      </w:r>
      <w:r w:rsidRPr="00A20003">
        <w:rPr>
          <w:rFonts w:ascii="Times New Roman" w:eastAsia="Calibri" w:hAnsi="Times New Roman" w:cs="Times New Roman"/>
          <w:lang w:eastAsia="zh-CN"/>
        </w:rPr>
        <w:t>, тобто не є гіршими технічними характеристиками.</w:t>
      </w:r>
    </w:p>
    <w:p w:rsidR="00A20003" w:rsidRPr="00A20003" w:rsidRDefault="00A20003" w:rsidP="00A20003">
      <w:pPr>
        <w:autoSpaceDN w:val="0"/>
        <w:spacing w:after="0" w:line="240" w:lineRule="auto"/>
        <w:ind w:left="792"/>
        <w:rPr>
          <w:rFonts w:ascii="Times New Roman" w:eastAsia="Times New Roman" w:hAnsi="Times New Roman" w:cs="Times New Roman"/>
          <w:b/>
          <w:lang w:eastAsia="ru-RU"/>
        </w:rPr>
      </w:pPr>
    </w:p>
    <w:p w:rsidR="00A20003" w:rsidRPr="00A20003" w:rsidRDefault="00A20003" w:rsidP="00A20003">
      <w:pPr>
        <w:autoSpaceDN w:val="0"/>
        <w:spacing w:after="0" w:line="240" w:lineRule="auto"/>
        <w:ind w:left="792"/>
        <w:jc w:val="center"/>
        <w:rPr>
          <w:rFonts w:ascii="Times New Roman" w:eastAsia="Times New Roman" w:hAnsi="Times New Roman" w:cs="Times New Roman"/>
          <w:b/>
          <w:lang w:eastAsia="ru-RU"/>
        </w:rPr>
      </w:pPr>
      <w:r w:rsidRPr="00A20003">
        <w:rPr>
          <w:rFonts w:ascii="Times New Roman" w:eastAsia="Times New Roman" w:hAnsi="Times New Roman" w:cs="Times New Roman"/>
          <w:b/>
          <w:lang w:eastAsia="ru-RU"/>
        </w:rPr>
        <w:t xml:space="preserve">Документи та дані, що підтверджують якісні характеристики </w:t>
      </w:r>
      <w:r w:rsidRPr="00A20003">
        <w:rPr>
          <w:rFonts w:ascii="Times New Roman" w:eastAsia="Times New Roman" w:hAnsi="Times New Roman" w:cs="Times New Roman"/>
          <w:b/>
          <w:lang w:eastAsia="ru-RU"/>
        </w:rPr>
        <w:br/>
      </w:r>
    </w:p>
    <w:p w:rsidR="00A20003" w:rsidRPr="00A20003" w:rsidRDefault="00A20003" w:rsidP="00A20003">
      <w:pPr>
        <w:spacing w:after="0" w:line="240" w:lineRule="auto"/>
        <w:ind w:firstLine="708"/>
        <w:jc w:val="both"/>
        <w:rPr>
          <w:rFonts w:ascii="Times New Roman" w:eastAsia="Times New Roman" w:hAnsi="Times New Roman" w:cs="Times New Roman"/>
          <w:lang w:eastAsia="uk-UA"/>
        </w:rPr>
      </w:pPr>
      <w:r w:rsidRPr="00A20003">
        <w:rPr>
          <w:rFonts w:ascii="Times New Roman" w:eastAsia="Times New Roman" w:hAnsi="Times New Roman" w:cs="Times New Roman"/>
          <w:b/>
          <w:i/>
          <w:color w:val="000000"/>
          <w:lang w:eastAsia="uk-UA"/>
        </w:rPr>
        <w:t xml:space="preserve">Примітка: </w:t>
      </w:r>
      <w:r w:rsidRPr="00A20003">
        <w:rPr>
          <w:rFonts w:ascii="Times New Roman" w:eastAsia="Times New Roman" w:hAnsi="Times New Roman" w:cs="Times New Roman"/>
          <w:lang w:eastAsia="uk-UA"/>
        </w:rPr>
        <w:t>Вважати зазначені у технічних характеристиках посилання 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rsidR="00A20003" w:rsidRPr="00A20003" w:rsidRDefault="00A20003" w:rsidP="00A20003">
      <w:pPr>
        <w:shd w:val="clear" w:color="auto" w:fill="FFFFFF"/>
        <w:spacing w:after="0" w:line="240" w:lineRule="auto"/>
        <w:ind w:firstLine="708"/>
        <w:jc w:val="both"/>
        <w:rPr>
          <w:rFonts w:ascii="Times New Roman" w:eastAsia="Times New Roman" w:hAnsi="Times New Roman" w:cs="Times New Roman"/>
          <w:lang w:eastAsia="uk-UA"/>
        </w:rPr>
      </w:pPr>
      <w:r w:rsidRPr="00A20003">
        <w:rPr>
          <w:rFonts w:ascii="Times New Roman" w:eastAsia="Times New Roman" w:hAnsi="Times New Roman" w:cs="Times New Roman"/>
          <w:b/>
          <w:lang w:eastAsia="uk-UA"/>
        </w:rPr>
        <w:t>Обґрунтування:</w:t>
      </w:r>
      <w:r w:rsidRPr="00A20003">
        <w:rPr>
          <w:rFonts w:ascii="Times New Roman" w:eastAsia="Times New Roman" w:hAnsi="Times New Roman" w:cs="Times New Roman"/>
          <w:lang w:eastAsia="uk-UA"/>
        </w:rPr>
        <w:t xml:space="preserve"> </w:t>
      </w:r>
    </w:p>
    <w:p w:rsidR="00A20003" w:rsidRPr="00A20003" w:rsidRDefault="00A20003" w:rsidP="00A20003">
      <w:pPr>
        <w:spacing w:after="0" w:line="240" w:lineRule="auto"/>
        <w:ind w:firstLine="284"/>
        <w:jc w:val="both"/>
        <w:rPr>
          <w:rFonts w:ascii="Times New Roman" w:eastAsia="Times New Roman" w:hAnsi="Times New Roman" w:cs="Times New Roman"/>
          <w:bCs/>
          <w:shd w:val="clear" w:color="auto" w:fill="FFFFFF"/>
          <w:lang w:eastAsia="uk-UA"/>
        </w:rPr>
      </w:pPr>
      <w:r w:rsidRPr="00A20003">
        <w:rPr>
          <w:rFonts w:ascii="Times New Roman" w:eastAsia="Times New Roman" w:hAnsi="Times New Roman" w:cs="Times New Roman"/>
          <w:lang w:eastAsia="uk-UA"/>
        </w:rPr>
        <w:t>Придбання замовником товару даного виду здійснюється для потреб військових формувань, за їх запитом з подальшою передачею такого товару на облік запитувача. Зважаючи на клопотання від військових формувань (з питань безпеки назва та місцезнаходження не розголошується), придбання товару даного виду є необхідним, оскільки існує потреба в укомплектуванні, забезпеченні технічної підтримки наступального потенціалу військових формувань, для виконання службових бойових завдань, з метою збереження життя та здоров’я особового складу та допомоги в розвідувальний діях, а товар даного виду за своїми якісними та технічними характеристиками найбільше відповідає вимогам та потребам військових формувань. Тому, для максимальної економії та ефективності замовником було прийнято рішення провести закупівлю саме даного виду товару. Посилання замовником в найменуванні та/або технічних характеристиках на виробників (у разі наявності), торговельну марку (у разі наявності) або тип (у разі наявності), тощо – обумовлено, в тому числі, і наданням учасникам загального уявлення про технічні характеристики чи складові товару.</w:t>
      </w:r>
    </w:p>
    <w:p w:rsidR="00A20003" w:rsidRPr="00A20003" w:rsidRDefault="00A20003" w:rsidP="00A20003">
      <w:pPr>
        <w:spacing w:after="0" w:line="240" w:lineRule="auto"/>
        <w:ind w:firstLine="284"/>
        <w:jc w:val="both"/>
        <w:rPr>
          <w:rFonts w:ascii="Times New Roman" w:eastAsia="Times New Roman" w:hAnsi="Times New Roman" w:cs="Times New Roman"/>
          <w:lang w:eastAsia="uk-UA"/>
        </w:rPr>
      </w:pPr>
      <w:r w:rsidRPr="00A20003">
        <w:rPr>
          <w:rFonts w:ascii="Times New Roman" w:eastAsia="Times New Roman" w:hAnsi="Times New Roman" w:cs="Times New Roman"/>
          <w:lang w:eastAsia="uk-UA"/>
        </w:rPr>
        <w:t xml:space="preserve">Учасник, подаючи свою тендерну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та якісним вимогам Замовника або товар, який представляється ним на торги, не відповідає технічним та якісним вимогам Замовника. Замовник для перевірки відповідності запропонованого учасником товару може використовувати інформацію, розміщену в мережі </w:t>
      </w:r>
      <w:proofErr w:type="spellStart"/>
      <w:r w:rsidRPr="00A20003">
        <w:rPr>
          <w:rFonts w:ascii="Times New Roman" w:eastAsia="Times New Roman" w:hAnsi="Times New Roman" w:cs="Times New Roman"/>
          <w:lang w:eastAsia="uk-UA"/>
        </w:rPr>
        <w:t>Internet</w:t>
      </w:r>
      <w:proofErr w:type="spellEnd"/>
      <w:r w:rsidRPr="00A20003">
        <w:rPr>
          <w:rFonts w:ascii="Times New Roman" w:eastAsia="Times New Roman" w:hAnsi="Times New Roman" w:cs="Times New Roman"/>
          <w:lang w:eastAsia="uk-UA"/>
        </w:rPr>
        <w:t>, в тому числі в електронній системі закупівель, офіційний сайт Виробника тощо.</w:t>
      </w:r>
    </w:p>
    <w:p w:rsidR="00A20003" w:rsidRPr="00A20003" w:rsidRDefault="00A20003" w:rsidP="00A20003">
      <w:pPr>
        <w:shd w:val="clear" w:color="auto" w:fill="FFFFFF"/>
        <w:suppressAutoHyphens/>
        <w:autoSpaceDN w:val="0"/>
        <w:spacing w:after="0" w:line="240" w:lineRule="auto"/>
        <w:jc w:val="center"/>
        <w:textAlignment w:val="top"/>
        <w:rPr>
          <w:rFonts w:ascii="Times New Roman" w:eastAsia="Calibri" w:hAnsi="Times New Roman" w:cs="Times New Roman"/>
          <w:b/>
          <w:color w:val="000000"/>
          <w:u w:val="single"/>
          <w:lang w:eastAsia="ru-RU"/>
        </w:rPr>
      </w:pPr>
    </w:p>
    <w:p w:rsidR="00A20003" w:rsidRPr="00A20003" w:rsidRDefault="00A20003" w:rsidP="00A20003">
      <w:pPr>
        <w:shd w:val="clear" w:color="auto" w:fill="FFFFFF"/>
        <w:suppressAutoHyphens/>
        <w:autoSpaceDN w:val="0"/>
        <w:spacing w:after="0" w:line="240" w:lineRule="auto"/>
        <w:jc w:val="center"/>
        <w:textAlignment w:val="top"/>
        <w:rPr>
          <w:rFonts w:ascii="Times New Roman" w:eastAsia="Calibri" w:hAnsi="Times New Roman" w:cs="Times New Roman"/>
          <w:b/>
          <w:color w:val="000000"/>
          <w:u w:val="single"/>
          <w:lang w:eastAsia="ru-RU"/>
        </w:rPr>
      </w:pPr>
      <w:r w:rsidRPr="00A20003">
        <w:rPr>
          <w:rFonts w:ascii="Times New Roman" w:eastAsia="Calibri" w:hAnsi="Times New Roman" w:cs="Times New Roman"/>
          <w:b/>
          <w:color w:val="000000"/>
          <w:u w:val="single"/>
          <w:lang w:eastAsia="ru-RU"/>
        </w:rPr>
        <w:t>Вимоги щодо товару:</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 xml:space="preserve">Товар, який постачається, є новим, не перебував в експлуатації, не перебуває в заставі або під арештом, вільний від претензій третіх осіб (надати відповідний гарантійний лист в складі пропозиції). </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 xml:space="preserve">Постачальник  гарантує високу якість  товару протягом гарантійного строку зазначеного виробником (надати відповідний гарантійний лист в складі пропозиції). </w:t>
      </w:r>
    </w:p>
    <w:p w:rsidR="00A20003" w:rsidRPr="00A20003" w:rsidRDefault="00A20003" w:rsidP="00A20003">
      <w:pPr>
        <w:widowControl w:val="0"/>
        <w:numPr>
          <w:ilvl w:val="0"/>
          <w:numId w:val="1"/>
        </w:numPr>
        <w:spacing w:after="0" w:line="240" w:lineRule="auto"/>
        <w:jc w:val="both"/>
        <w:rPr>
          <w:rFonts w:ascii="Times New Roman" w:eastAsia="Times New Roman" w:hAnsi="Times New Roman" w:cs="Times New Roman"/>
          <w:color w:val="000000"/>
          <w:lang w:eastAsia="uk-UA"/>
        </w:rPr>
      </w:pPr>
      <w:r w:rsidRPr="00A20003">
        <w:rPr>
          <w:rFonts w:ascii="Times New Roman" w:eastAsia="Times New Roman" w:hAnsi="Times New Roman" w:cs="Times New Roman"/>
          <w:lang w:eastAsia="uk-UA"/>
        </w:rPr>
        <w:t>Навантаження, доставка, розвантаження товару, що є предметом закупівлі здійснюється за рахунок Учасника на адресу вказану Замовником в оголошенні про проведення відкритих торгів</w:t>
      </w:r>
      <w:r w:rsidRPr="00A20003">
        <w:rPr>
          <w:rFonts w:ascii="Times New Roman" w:eastAsia="Times New Roman" w:hAnsi="Times New Roman" w:cs="Times New Roman"/>
          <w:color w:val="000000"/>
          <w:lang w:eastAsia="uk-UA"/>
        </w:rPr>
        <w:t xml:space="preserve"> (надати відповідний гарантійний лист в складі пропозиції). </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Якість товару повинна відповідати вимогам відповідних діючих нормативних документів та відповідати параметрам та вимогам, зазначеним у цьому додатку.</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Calibri" w:hAnsi="Times New Roman" w:cs="Times New Roman"/>
          <w:lang w:eastAsia="ru-RU"/>
        </w:rPr>
      </w:pPr>
      <w:r w:rsidRPr="00A20003">
        <w:rPr>
          <w:rFonts w:ascii="Times New Roman" w:eastAsia="Times New Roman" w:hAnsi="Times New Roman" w:cs="Times New Roman"/>
          <w:color w:val="000000"/>
          <w:lang w:eastAsia="ru-RU"/>
        </w:rPr>
        <w:lastRenderedPageBreak/>
        <w:t>Якісно поставленим товаром вважається товар, який відповідає вимогам, що звичайно ставляться</w:t>
      </w:r>
      <w:r w:rsidRPr="00A20003">
        <w:rPr>
          <w:rFonts w:ascii="Times New Roman" w:eastAsia="Calibri" w:hAnsi="Times New Roman" w:cs="Times New Roman"/>
          <w:color w:val="000000"/>
          <w:lang w:eastAsia="ru-RU"/>
        </w:rPr>
        <w:t xml:space="preserve"> до товару відповідного характеру.</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 xml:space="preserve">Товар, який постачається, не перебував в експлуатації, терміни та умови його зберігання не порушені (надати відповідний гарантійний лист в складі пропозиції). </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Товар повинен мати заводську упаковку;</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Товар повинен мати відповідне маркування;</w:t>
      </w:r>
    </w:p>
    <w:p w:rsidR="00A20003" w:rsidRPr="00A20003" w:rsidRDefault="00A20003" w:rsidP="00A20003">
      <w:pPr>
        <w:widowControl w:val="0"/>
        <w:numPr>
          <w:ilvl w:val="0"/>
          <w:numId w:val="1"/>
        </w:numPr>
        <w:autoSpaceDN w:val="0"/>
        <w:spacing w:after="0" w:line="240" w:lineRule="auto"/>
        <w:jc w:val="both"/>
        <w:textAlignment w:val="baseline"/>
        <w:rPr>
          <w:rFonts w:ascii="Times New Roman" w:eastAsia="Times New Roman" w:hAnsi="Times New Roman" w:cs="Times New Roman"/>
          <w:color w:val="000000"/>
          <w:lang w:eastAsia="ru-RU"/>
        </w:rPr>
      </w:pPr>
      <w:r w:rsidRPr="00A20003">
        <w:rPr>
          <w:rFonts w:ascii="Times New Roman" w:eastAsia="Times New Roman" w:hAnsi="Times New Roman" w:cs="Times New Roman"/>
          <w:color w:val="000000"/>
          <w:lang w:eastAsia="ru-RU"/>
        </w:rPr>
        <w:t xml:space="preserve">Гарантія на товар повинна становити не менше 12 місяців (надати відповідний гарантійний лист в складі пропозиції). </w:t>
      </w:r>
    </w:p>
    <w:p w:rsidR="00A20003" w:rsidRPr="00885381" w:rsidRDefault="00A20003" w:rsidP="00A20003">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lang w:bidi="en-US"/>
        </w:rPr>
      </w:pPr>
      <w:r w:rsidRPr="00A20003">
        <w:rPr>
          <w:rFonts w:ascii="Times New Roman" w:eastAsia="Times New Roman" w:hAnsi="Times New Roman" w:cs="Times New Roman"/>
          <w:lang w:eastAsia="ru-RU" w:bidi="en-US"/>
        </w:rPr>
        <w:t xml:space="preserve">Товар повинен поставлятися комплектно відповідно до вимог стандартів, технічних умов та мати не менше одного з наступних документів: декларацію про відповідність, сертифікат якості (паспорт якості) або висновок державної санітарно-епідеміологічної служби оформлені відповідно до вимог законодавства України; інструкцію з експлуатації, </w:t>
      </w:r>
      <w:r w:rsidRPr="00A20003">
        <w:rPr>
          <w:rFonts w:ascii="Times New Roman" w:eastAsia="Times New Roman" w:hAnsi="Times New Roman" w:cs="Times New Roman"/>
          <w:b/>
          <w:i/>
          <w:lang w:eastAsia="ru-RU" w:bidi="en-US"/>
        </w:rPr>
        <w:t>що надаються учасниками закупівлі у складі пропозиції в сканованому вигляді.</w:t>
      </w:r>
      <w:r w:rsidRPr="00A20003">
        <w:rPr>
          <w:rFonts w:ascii="Times New Roman" w:eastAsia="Times New Roman" w:hAnsi="Times New Roman" w:cs="Times New Roman"/>
          <w:lang w:eastAsia="ru-RU" w:bidi="en-US"/>
        </w:rPr>
        <w:t xml:space="preserve">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885381" w:rsidRPr="00885381" w:rsidRDefault="00885381" w:rsidP="00885381">
      <w:pPr>
        <w:pStyle w:val="a3"/>
        <w:numPr>
          <w:ilvl w:val="0"/>
          <w:numId w:val="1"/>
        </w:numPr>
        <w:spacing w:after="0" w:line="20" w:lineRule="atLeast"/>
        <w:jc w:val="both"/>
        <w:rPr>
          <w:rFonts w:ascii="Times New Roman" w:hAnsi="Times New Roman"/>
          <w:lang w:eastAsia="ru-RU"/>
        </w:rPr>
      </w:pPr>
      <w:r w:rsidRPr="00885381">
        <w:rPr>
          <w:rFonts w:ascii="Times New Roman" w:hAnsi="Times New Roman"/>
          <w:lang w:eastAsia="ru-RU"/>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 На підтвердження Учасник у складі пропозиції повинен надати гарантійний лист від виробника чи дистриб’ютора виробника.</w:t>
      </w:r>
    </w:p>
    <w:p w:rsidR="00885381" w:rsidRPr="00885381" w:rsidRDefault="00885381" w:rsidP="00885381">
      <w:pPr>
        <w:pStyle w:val="a3"/>
        <w:numPr>
          <w:ilvl w:val="0"/>
          <w:numId w:val="1"/>
        </w:numPr>
        <w:spacing w:after="0" w:line="20" w:lineRule="atLeast"/>
        <w:jc w:val="both"/>
        <w:rPr>
          <w:rFonts w:ascii="Times New Roman" w:hAnsi="Times New Roman"/>
          <w:lang w:eastAsia="ru-RU"/>
        </w:rPr>
      </w:pPr>
      <w:r w:rsidRPr="00885381">
        <w:rPr>
          <w:rFonts w:ascii="Times New Roman" w:hAnsi="Times New Roman"/>
          <w:lang w:eastAsia="ru-RU"/>
        </w:rPr>
        <w:t>Якщо учасник не є виробником продукції - надати документи, які підтверджують стосунки із виробником в Україні або офіційним дистриб’ютором на території України  (скановану копію партнерського договору або сертифікату або листа або інші оригінали документів, в яких обов’язково зазначаються стосунки з учасником).</w:t>
      </w:r>
    </w:p>
    <w:p w:rsidR="00A20003" w:rsidRPr="00A20003" w:rsidRDefault="00A20003" w:rsidP="00A20003">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i/>
          <w:lang w:bidi="en-US"/>
        </w:rPr>
      </w:pPr>
      <w:r w:rsidRPr="00A20003">
        <w:rPr>
          <w:rFonts w:ascii="Times New Roman" w:eastAsia="Times New Roman" w:hAnsi="Times New Roman" w:cs="Times New Roman"/>
          <w:color w:val="000000"/>
          <w:lang w:bidi="en-US"/>
        </w:rPr>
        <w:t>Не приймаються пропозиції на товар, який вироблений в країні(ах) до якої(</w:t>
      </w:r>
      <w:proofErr w:type="spellStart"/>
      <w:r w:rsidRPr="00A20003">
        <w:rPr>
          <w:rFonts w:ascii="Times New Roman" w:eastAsia="Times New Roman" w:hAnsi="Times New Roman" w:cs="Times New Roman"/>
          <w:color w:val="000000"/>
          <w:lang w:bidi="en-US"/>
        </w:rPr>
        <w:t>их</w:t>
      </w:r>
      <w:proofErr w:type="spellEnd"/>
      <w:r w:rsidRPr="00A20003">
        <w:rPr>
          <w:rFonts w:ascii="Times New Roman" w:eastAsia="Times New Roman" w:hAnsi="Times New Roman" w:cs="Times New Roman"/>
          <w:color w:val="000000"/>
          <w:lang w:bidi="en-US"/>
        </w:rPr>
        <w:t>) застосовуються санкції (</w:t>
      </w:r>
      <w:r w:rsidRPr="00A20003">
        <w:rPr>
          <w:rFonts w:ascii="Times New Roman" w:eastAsia="Times New Roman" w:hAnsi="Times New Roman" w:cs="Times New Roman"/>
          <w:color w:val="000000"/>
          <w:highlight w:val="white"/>
          <w:lang w:bidi="en-US"/>
        </w:rPr>
        <w:t>персональні, спеціальні, економічні та інші обмежувальні заходи</w:t>
      </w:r>
      <w:r w:rsidRPr="00A20003">
        <w:rPr>
          <w:rFonts w:ascii="Times New Roman" w:eastAsia="Times New Roman" w:hAnsi="Times New Roman" w:cs="Times New Roman"/>
          <w:color w:val="000000"/>
          <w:lang w:bidi="en-US"/>
        </w:rPr>
        <w:t>).</w:t>
      </w:r>
    </w:p>
    <w:p w:rsidR="00A20003" w:rsidRPr="00A20003" w:rsidRDefault="00A20003" w:rsidP="00A20003">
      <w:pPr>
        <w:widowControl w:val="0"/>
        <w:pBdr>
          <w:top w:val="none" w:sz="4" w:space="0" w:color="000000"/>
          <w:left w:val="none" w:sz="4" w:space="0" w:color="000000"/>
          <w:bottom w:val="none" w:sz="4" w:space="0" w:color="000000"/>
          <w:right w:val="none" w:sz="4" w:space="0" w:color="000000"/>
          <w:between w:val="none" w:sz="4" w:space="0" w:color="000000"/>
        </w:pBd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lang w:bidi="en-US"/>
        </w:rPr>
      </w:pPr>
    </w:p>
    <w:p w:rsidR="00A20003" w:rsidRPr="00A20003" w:rsidRDefault="00A20003" w:rsidP="00A20003">
      <w:pPr>
        <w:widowControl w:val="0"/>
        <w:autoSpaceDN w:val="0"/>
        <w:spacing w:after="0" w:line="240" w:lineRule="auto"/>
        <w:ind w:left="360"/>
        <w:jc w:val="both"/>
        <w:textAlignment w:val="baseline"/>
        <w:rPr>
          <w:rFonts w:ascii="Times New Roman" w:eastAsia="Calibri" w:hAnsi="Times New Roman" w:cs="Times New Roman"/>
          <w:lang w:eastAsia="ru-RU"/>
        </w:rPr>
      </w:pPr>
    </w:p>
    <w:p w:rsidR="00A20003" w:rsidRPr="00A20003" w:rsidRDefault="00A20003" w:rsidP="00A20003">
      <w:pPr>
        <w:spacing w:after="0" w:line="240" w:lineRule="auto"/>
        <w:rPr>
          <w:rFonts w:ascii="Times New Roman" w:eastAsia="Times New Roman" w:hAnsi="Times New Roman" w:cs="Times New Roman"/>
          <w:lang w:eastAsia="uk-UA"/>
        </w:rPr>
      </w:pPr>
    </w:p>
    <w:p w:rsidR="00A20003" w:rsidRPr="00A20003" w:rsidRDefault="00A20003" w:rsidP="00A20003">
      <w:pPr>
        <w:spacing w:after="200" w:line="276" w:lineRule="auto"/>
        <w:rPr>
          <w:rFonts w:ascii="Calibri" w:eastAsia="Times New Roman" w:hAnsi="Calibri" w:cs="Times New Roman"/>
          <w:lang w:eastAsia="uk-UA"/>
        </w:rPr>
      </w:pPr>
    </w:p>
    <w:p w:rsidR="00AD7597" w:rsidRDefault="00AD7597"/>
    <w:sectPr w:rsidR="00AD7597" w:rsidSect="00B73F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7A5"/>
    <w:multiLevelType w:val="hybridMultilevel"/>
    <w:tmpl w:val="012E8BB0"/>
    <w:lvl w:ilvl="0" w:tplc="25EE845A">
      <w:start w:val="1"/>
      <w:numFmt w:val="bullet"/>
      <w:lvlText w:val="-"/>
      <w:lvlJc w:val="left"/>
      <w:pPr>
        <w:ind w:left="303" w:hanging="360"/>
      </w:pPr>
      <w:rPr>
        <w:rFonts w:ascii="Times New Roman" w:eastAsiaTheme="minorHAnsi" w:hAnsi="Times New Roman"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1" w15:restartNumberingAfterBreak="0">
    <w:nsid w:val="6B5F7BDF"/>
    <w:multiLevelType w:val="multilevel"/>
    <w:tmpl w:val="52283464"/>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1E"/>
    <w:rsid w:val="007C0D1E"/>
    <w:rsid w:val="00885381"/>
    <w:rsid w:val="00A20003"/>
    <w:rsid w:val="00AD7597"/>
    <w:rsid w:val="00C52F5F"/>
    <w:rsid w:val="00F91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6CE1"/>
  <w15:chartTrackingRefBased/>
  <w15:docId w15:val="{32FF3F7A-A528-4FFF-B0A7-F192F72B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6657</Words>
  <Characters>3795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2024-04-19T09:58:00Z</dcterms:created>
  <dcterms:modified xsi:type="dcterms:W3CDTF">2024-04-19T10:32:00Z</dcterms:modified>
</cp:coreProperties>
</file>