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54" w:rsidRPr="0047411E" w:rsidRDefault="00BE6D54" w:rsidP="0047411E">
      <w:pPr>
        <w:spacing w:after="0"/>
        <w:jc w:val="right"/>
        <w:rPr>
          <w:rFonts w:ascii="Times New Roman" w:hAnsi="Times New Roman" w:cs="Times New Roman"/>
          <w:b/>
          <w:color w:val="242424"/>
          <w:sz w:val="24"/>
          <w:szCs w:val="24"/>
          <w:lang w:val="uk-UA"/>
        </w:rPr>
      </w:pPr>
      <w:r w:rsidRPr="0047411E">
        <w:rPr>
          <w:rFonts w:ascii="Times New Roman" w:hAnsi="Times New Roman" w:cs="Times New Roman"/>
          <w:b/>
          <w:color w:val="242424"/>
          <w:sz w:val="24"/>
          <w:szCs w:val="24"/>
          <w:lang w:val="uk-UA"/>
        </w:rPr>
        <w:t>ДОДАТОК №4</w:t>
      </w:r>
    </w:p>
    <w:p w:rsidR="00BE6D54" w:rsidRPr="0047411E" w:rsidRDefault="00BE6D54" w:rsidP="00BE6D54">
      <w:pPr>
        <w:ind w:left="5660"/>
        <w:jc w:val="right"/>
        <w:rPr>
          <w:rFonts w:ascii="Times New Roman" w:hAnsi="Times New Roman" w:cs="Times New Roman"/>
          <w:b/>
          <w:color w:val="242424"/>
          <w:sz w:val="24"/>
          <w:szCs w:val="24"/>
          <w:lang w:val="uk-UA"/>
        </w:rPr>
      </w:pPr>
      <w:r w:rsidRPr="0047411E">
        <w:rPr>
          <w:rFonts w:ascii="Times New Roman" w:hAnsi="Times New Roman" w:cs="Times New Roman"/>
          <w:b/>
          <w:color w:val="242424"/>
          <w:sz w:val="24"/>
          <w:szCs w:val="24"/>
          <w:lang w:val="uk-UA"/>
        </w:rPr>
        <w:t>до тендерної документації </w:t>
      </w:r>
    </w:p>
    <w:p w:rsidR="00BE6D54" w:rsidRPr="00BE6D54" w:rsidRDefault="00BE6D54" w:rsidP="00BE6D54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D54">
        <w:rPr>
          <w:rFonts w:ascii="Times New Roman" w:hAnsi="Times New Roman" w:cs="Times New Roman"/>
          <w:b/>
          <w:sz w:val="28"/>
          <w:szCs w:val="28"/>
        </w:rPr>
        <w:t>ТЕХНІЧНІ</w:t>
      </w:r>
      <w:r w:rsidRPr="00BE6D54">
        <w:rPr>
          <w:rFonts w:ascii="Times New Roman" w:hAnsi="Times New Roman" w:cs="Times New Roman"/>
          <w:b/>
          <w:sz w:val="28"/>
          <w:szCs w:val="28"/>
          <w:lang w:val="uk-UA"/>
        </w:rPr>
        <w:t>, ЯКІСНІ</w:t>
      </w:r>
      <w:r w:rsidRPr="00BE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КІЛЬКІСНІ </w:t>
      </w:r>
      <w:r w:rsidRPr="00BE6D54">
        <w:rPr>
          <w:rFonts w:ascii="Times New Roman" w:hAnsi="Times New Roman" w:cs="Times New Roman"/>
          <w:b/>
          <w:sz w:val="28"/>
          <w:szCs w:val="28"/>
        </w:rPr>
        <w:t>ВИМОГИ ДО ПРЕДМЕТУ ЗАКУПІВЛІ</w:t>
      </w:r>
    </w:p>
    <w:p w:rsidR="00E40E7F" w:rsidRPr="00E84520" w:rsidRDefault="00E26BEB" w:rsidP="00BE6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BEB">
        <w:rPr>
          <w:rFonts w:ascii="Times New Roman" w:hAnsi="Times New Roman" w:cs="Times New Roman"/>
          <w:b/>
          <w:sz w:val="24"/>
          <w:szCs w:val="24"/>
          <w:lang w:val="uk-UA"/>
        </w:rPr>
        <w:t>видатки благоустрою населених пунктів (послуги з улаштування цементобетонного покриття на центральному кладовищі у місті Верхньодніпровську)</w:t>
      </w:r>
      <w:bookmarkStart w:id="0" w:name="_GoBack"/>
      <w:bookmarkEnd w:id="0"/>
      <w:r w:rsidR="00BE6D54" w:rsidRPr="00E84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E6D54" w:rsidRPr="00E84520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 xml:space="preserve">код згідно класифікатора </w:t>
      </w:r>
      <w:r w:rsidR="0047411E" w:rsidRPr="00E84520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«</w:t>
      </w:r>
      <w:r w:rsidR="00E40E7F" w:rsidRPr="00E84520">
        <w:rPr>
          <w:rFonts w:ascii="Times New Roman" w:hAnsi="Times New Roman" w:cs="Times New Roman"/>
          <w:b/>
          <w:bCs/>
          <w:sz w:val="24"/>
          <w:szCs w:val="24"/>
          <w:lang w:val="uk-UA"/>
        </w:rPr>
        <w:t>45230000-8</w:t>
      </w:r>
      <w:r w:rsidR="002F16B4" w:rsidRPr="00E845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F16B4" w:rsidRPr="00E84520">
        <w:rPr>
          <w:rFonts w:ascii="Times New Roman" w:hAnsi="Times New Roman" w:cs="Times New Roman"/>
          <w:b/>
          <w:sz w:val="24"/>
          <w:szCs w:val="24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47411E" w:rsidRPr="00E8452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BE6D54" w:rsidRPr="00194192" w:rsidRDefault="00BE6D54" w:rsidP="00BE6D54">
      <w:pPr>
        <w:tabs>
          <w:tab w:val="left" w:pos="1418"/>
        </w:tabs>
        <w:suppressAutoHyphens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 w:rsidRPr="00BE6D54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Замовник самостійно визначає необхідні</w:t>
      </w:r>
      <w:r w:rsidRPr="00BE6D54">
        <w:rPr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Pr="00BE6D54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 xml:space="preserve"> технічні характеристики предмета закупівлі виходячи зі </w:t>
      </w:r>
      <w:r w:rsidRPr="00194192">
        <w:rPr>
          <w:rFonts w:ascii="Times New Roman" w:hAnsi="Times New Roman" w:cs="Times New Roman"/>
          <w:bCs/>
          <w:shd w:val="clear" w:color="auto" w:fill="FFFFFF"/>
          <w:lang w:val="uk-UA"/>
        </w:rPr>
        <w:t>специфіки предмета закупівлі, керуючись принципами здійснення закупівель та з дотриманням законодавства.</w:t>
      </w:r>
    </w:p>
    <w:p w:rsidR="00BE6D54" w:rsidRPr="00194192" w:rsidRDefault="00BE6D54" w:rsidP="00BE6D54">
      <w:pPr>
        <w:tabs>
          <w:tab w:val="left" w:pos="1418"/>
        </w:tabs>
        <w:suppressAutoHyphens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bCs/>
          <w:shd w:val="clear" w:color="auto" w:fill="FFFFFF"/>
          <w:lang w:val="uk-UA"/>
        </w:rPr>
      </w:pPr>
      <w:r w:rsidRPr="00194192">
        <w:rPr>
          <w:rFonts w:ascii="Times New Roman" w:hAnsi="Times New Roman" w:cs="Times New Roman"/>
          <w:bCs/>
          <w:shd w:val="clear" w:color="auto" w:fill="FFFFFF"/>
          <w:lang w:val="uk-UA"/>
        </w:rPr>
        <w:t>Учасник повинен підтвердити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 в тендерній документації та цьому додатку.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3260"/>
      </w:tblGrid>
      <w:tr w:rsidR="00194192" w:rsidRPr="00194192" w:rsidTr="00BE6D54">
        <w:trPr>
          <w:jc w:val="center"/>
        </w:trPr>
        <w:tc>
          <w:tcPr>
            <w:tcW w:w="567" w:type="dxa"/>
            <w:vAlign w:val="center"/>
          </w:tcPr>
          <w:p w:rsidR="00BE6D54" w:rsidRPr="00194192" w:rsidRDefault="00BE6D54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</w:t>
            </w:r>
          </w:p>
          <w:p w:rsidR="00BE6D54" w:rsidRPr="00194192" w:rsidRDefault="00BE6D54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Align w:val="center"/>
          </w:tcPr>
          <w:p w:rsidR="00BE6D54" w:rsidRPr="00194192" w:rsidRDefault="00CF3D93" w:rsidP="0002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робіт та мат</w:t>
            </w:r>
            <w:r w:rsidR="00BE6D54" w:rsidRPr="00194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еріали</w:t>
            </w:r>
          </w:p>
        </w:tc>
        <w:tc>
          <w:tcPr>
            <w:tcW w:w="567" w:type="dxa"/>
            <w:vAlign w:val="center"/>
          </w:tcPr>
          <w:p w:rsidR="00BE6D54" w:rsidRPr="00194192" w:rsidRDefault="00BE6D54" w:rsidP="0002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851" w:type="dxa"/>
            <w:vAlign w:val="center"/>
          </w:tcPr>
          <w:p w:rsidR="00BE6D54" w:rsidRPr="00194192" w:rsidRDefault="00BE6D54" w:rsidP="0002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419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Кіль-кість</w:t>
            </w:r>
          </w:p>
        </w:tc>
        <w:tc>
          <w:tcPr>
            <w:tcW w:w="3260" w:type="dxa"/>
          </w:tcPr>
          <w:p w:rsidR="00BE6D54" w:rsidRPr="00194192" w:rsidRDefault="00BE6D54" w:rsidP="00023959">
            <w:pPr>
              <w:pStyle w:val="TableParagraph"/>
              <w:ind w:left="195" w:right="190" w:firstLine="2"/>
              <w:jc w:val="center"/>
              <w:rPr>
                <w:sz w:val="24"/>
                <w:szCs w:val="24"/>
                <w:lang w:val="uk-UA"/>
              </w:rPr>
            </w:pPr>
            <w:r w:rsidRPr="00194192">
              <w:rPr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194192" w:rsidRPr="00194192" w:rsidTr="00BE6D54">
        <w:trPr>
          <w:jc w:val="center"/>
        </w:trPr>
        <w:tc>
          <w:tcPr>
            <w:tcW w:w="567" w:type="dxa"/>
          </w:tcPr>
          <w:p w:rsidR="00E40E7F" w:rsidRPr="00194192" w:rsidRDefault="00E40E7F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E40E7F" w:rsidRPr="00CF3D93" w:rsidRDefault="00E40E7F" w:rsidP="004E480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Улаштування підстильних та вирівнювальних шарів</w:t>
            </w:r>
            <w:r w:rsidR="004E4808"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основи із шлаку доменного відвального</w:t>
            </w:r>
          </w:p>
        </w:tc>
        <w:tc>
          <w:tcPr>
            <w:tcW w:w="567" w:type="dxa"/>
          </w:tcPr>
          <w:p w:rsidR="00E40E7F" w:rsidRPr="00194192" w:rsidRDefault="00BE6D54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м</w:t>
            </w:r>
            <w:r w:rsidR="00E40E7F" w:rsidRPr="00194192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40E7F" w:rsidRPr="00194192" w:rsidRDefault="00E40E7F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40E7F" w:rsidRPr="00194192" w:rsidRDefault="00E40E7F" w:rsidP="000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192" w:rsidRPr="00194192" w:rsidTr="00BE6D54">
        <w:trPr>
          <w:jc w:val="center"/>
        </w:trPr>
        <w:tc>
          <w:tcPr>
            <w:tcW w:w="567" w:type="dxa"/>
          </w:tcPr>
          <w:p w:rsidR="00E40E7F" w:rsidRPr="00194192" w:rsidRDefault="00E40E7F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E40E7F" w:rsidRPr="00CF3D93" w:rsidRDefault="00E40E7F" w:rsidP="004E480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Улаштування бетонної стяжки товщиною 20 мм площею</w:t>
            </w:r>
            <w:r w:rsidR="004E4808"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понад 20 м2 (улаштування бетонного покриття із</w:t>
            </w:r>
            <w:r w:rsidR="004E4808"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фібробетону</w:t>
            </w:r>
            <w:proofErr w:type="spellEnd"/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факт. </w:t>
            </w:r>
            <w:proofErr w:type="spellStart"/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товщ</w:t>
            </w:r>
            <w:proofErr w:type="spellEnd"/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. 200 мм)</w:t>
            </w:r>
          </w:p>
        </w:tc>
        <w:tc>
          <w:tcPr>
            <w:tcW w:w="567" w:type="dxa"/>
          </w:tcPr>
          <w:p w:rsidR="00E40E7F" w:rsidRPr="00194192" w:rsidRDefault="00BE6D54" w:rsidP="00BE6D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м</w:t>
            </w: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</w:tcPr>
          <w:p w:rsidR="00E40E7F" w:rsidRPr="00194192" w:rsidRDefault="00E40E7F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336,2</w:t>
            </w:r>
          </w:p>
        </w:tc>
        <w:tc>
          <w:tcPr>
            <w:tcW w:w="3260" w:type="dxa"/>
          </w:tcPr>
          <w:p w:rsidR="00E40E7F" w:rsidRPr="00194192" w:rsidRDefault="00E40E7F" w:rsidP="000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192" w:rsidRPr="00194192" w:rsidTr="00BE6D54">
        <w:trPr>
          <w:jc w:val="center"/>
        </w:trPr>
        <w:tc>
          <w:tcPr>
            <w:tcW w:w="567" w:type="dxa"/>
          </w:tcPr>
          <w:p w:rsidR="00E40E7F" w:rsidRPr="00194192" w:rsidRDefault="00E40E7F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4963" w:type="dxa"/>
          </w:tcPr>
          <w:p w:rsidR="00E40E7F" w:rsidRPr="00CF3D93" w:rsidRDefault="00E40E7F" w:rsidP="00BE6D5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На кожні 5 мм зміни товщини шару стяжки з важкого</w:t>
            </w:r>
            <w:r w:rsidR="00BE6D54"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бетону додавати або виключати</w:t>
            </w:r>
          </w:p>
        </w:tc>
        <w:tc>
          <w:tcPr>
            <w:tcW w:w="567" w:type="dxa"/>
          </w:tcPr>
          <w:p w:rsidR="00E40E7F" w:rsidRPr="00194192" w:rsidRDefault="00BE6D54" w:rsidP="00BE6D5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м</w:t>
            </w: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</w:tcPr>
          <w:p w:rsidR="00E40E7F" w:rsidRPr="00194192" w:rsidRDefault="00E40E7F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336,2</w:t>
            </w:r>
          </w:p>
        </w:tc>
        <w:tc>
          <w:tcPr>
            <w:tcW w:w="3260" w:type="dxa"/>
          </w:tcPr>
          <w:p w:rsidR="00E40E7F" w:rsidRPr="00194192" w:rsidRDefault="00E40E7F" w:rsidP="000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192" w:rsidRPr="00194192" w:rsidTr="00BE6D54">
        <w:trPr>
          <w:jc w:val="center"/>
        </w:trPr>
        <w:tc>
          <w:tcPr>
            <w:tcW w:w="567" w:type="dxa"/>
          </w:tcPr>
          <w:p w:rsidR="00E40E7F" w:rsidRPr="00194192" w:rsidRDefault="00E40E7F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4963" w:type="dxa"/>
          </w:tcPr>
          <w:p w:rsidR="00E40E7F" w:rsidRPr="00CF3D93" w:rsidRDefault="00E40E7F" w:rsidP="0002395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Готування </w:t>
            </w:r>
            <w:proofErr w:type="spellStart"/>
            <w:r w:rsidRPr="00CF3D93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фібробетона</w:t>
            </w:r>
            <w:proofErr w:type="spellEnd"/>
          </w:p>
        </w:tc>
        <w:tc>
          <w:tcPr>
            <w:tcW w:w="567" w:type="dxa"/>
          </w:tcPr>
          <w:p w:rsidR="00E40E7F" w:rsidRPr="00194192" w:rsidRDefault="00BE6D54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м</w:t>
            </w: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40E7F" w:rsidRPr="00194192" w:rsidRDefault="00E40E7F" w:rsidP="0002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67,32</w:t>
            </w:r>
          </w:p>
        </w:tc>
        <w:tc>
          <w:tcPr>
            <w:tcW w:w="3260" w:type="dxa"/>
          </w:tcPr>
          <w:p w:rsidR="00E40E7F" w:rsidRPr="00194192" w:rsidRDefault="00E40E7F" w:rsidP="000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064E" w:rsidRPr="00194192" w:rsidRDefault="00B5064E" w:rsidP="00B5064E">
      <w:pPr>
        <w:pStyle w:val="1"/>
        <w:tabs>
          <w:tab w:val="left" w:pos="1418"/>
        </w:tabs>
        <w:ind w:firstLine="567"/>
        <w:jc w:val="both"/>
        <w:rPr>
          <w:lang w:val="uk-UA"/>
        </w:rPr>
      </w:pPr>
      <w:r w:rsidRPr="00194192">
        <w:rPr>
          <w:lang w:val="uk-UA"/>
        </w:rPr>
        <w:t xml:space="preserve">Учасник визначає ціну, яку він пропонує за Договором, з урахуванням податків і зборів, що сплачуються або мають бути сплачені, а також витрат на страхування, транспортування, відвантаження </w:t>
      </w:r>
      <w:r w:rsidR="001C379C" w:rsidRPr="00194192">
        <w:rPr>
          <w:lang w:val="uk-UA"/>
        </w:rPr>
        <w:t>матеріалів</w:t>
      </w:r>
      <w:r w:rsidRPr="00194192">
        <w:rPr>
          <w:lang w:val="uk-UA"/>
        </w:rPr>
        <w:t>.</w:t>
      </w:r>
    </w:p>
    <w:p w:rsidR="00B5064E" w:rsidRPr="00194192" w:rsidRDefault="00B5064E" w:rsidP="00B5064E">
      <w:pPr>
        <w:pStyle w:val="1"/>
        <w:tabs>
          <w:tab w:val="left" w:pos="1418"/>
        </w:tabs>
        <w:ind w:firstLine="567"/>
        <w:jc w:val="both"/>
        <w:rPr>
          <w:lang w:val="uk-UA"/>
        </w:rPr>
      </w:pPr>
      <w:r w:rsidRPr="00194192">
        <w:rPr>
          <w:lang w:val="uk-UA"/>
        </w:rPr>
        <w:t>Обсяг закупівлі може бути зменшеним в залежності від фактичного обсягу видатків замовника.</w:t>
      </w:r>
    </w:p>
    <w:p w:rsidR="00B5064E" w:rsidRPr="00194192" w:rsidRDefault="00B5064E" w:rsidP="00B5064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94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готуванні </w:t>
      </w:r>
      <w:proofErr w:type="spellStart"/>
      <w:r w:rsidRPr="00194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фібробетон</w:t>
      </w:r>
      <w:r w:rsidR="00CF3D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194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194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суміші повинні використовуватись  базальтові  волокна,  довжиною 18-25 мм. Розчин </w:t>
      </w:r>
      <w:proofErr w:type="spellStart"/>
      <w:r w:rsidRPr="00194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фібробетону</w:t>
      </w:r>
      <w:proofErr w:type="spellEnd"/>
      <w:r w:rsidRPr="001941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відповідати вимогам ДСТУ Б.В. 2.7-23-95 </w:t>
      </w:r>
      <w:r w:rsidRPr="001941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="008A7A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  <w:r w:rsidRPr="001941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часник надає гарантій</w:t>
      </w:r>
      <w:r w:rsidR="005734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ний</w:t>
      </w:r>
      <w:r w:rsidRPr="001941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лист, щодо підтвердження даної вимоги)</w:t>
      </w:r>
      <w:r w:rsidR="005734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1C379C" w:rsidRPr="00194192" w:rsidRDefault="001C379C" w:rsidP="001C379C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При улаштування суміші потрібно дотримуватись наступних параметрів довкілля, а саме: середньодобова температура 10°</w:t>
      </w:r>
      <w:r w:rsidRPr="00194192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– 25°</w:t>
      </w:r>
      <w:r w:rsidRPr="00194192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; вологість 65 – 80%;  проведені заходи з захисту залитого об'єму від дії вітру, опадів, грунтових вод і прямих сонячних променів. </w:t>
      </w:r>
      <w:r w:rsidRPr="001941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="008A7A9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  <w:r w:rsidRPr="001941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часник надає гарантій</w:t>
      </w:r>
      <w:r w:rsidR="005734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ний</w:t>
      </w:r>
      <w:r w:rsidRPr="001941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лист, щодо </w:t>
      </w:r>
      <w:r w:rsidR="00194192" w:rsidRPr="001941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дотримання</w:t>
      </w:r>
      <w:r w:rsidRPr="0019419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даної вимоги)</w:t>
      </w:r>
      <w:r w:rsidR="005734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C465F0" w:rsidRPr="00194192" w:rsidRDefault="00C465F0" w:rsidP="0047411E">
      <w:pPr>
        <w:pStyle w:val="1"/>
        <w:tabs>
          <w:tab w:val="left" w:pos="1418"/>
        </w:tabs>
        <w:ind w:firstLine="567"/>
        <w:jc w:val="both"/>
        <w:rPr>
          <w:rFonts w:eastAsiaTheme="minorHAnsi"/>
          <w:spacing w:val="-5"/>
          <w:lang w:val="uk-UA" w:eastAsia="en-US"/>
        </w:rPr>
      </w:pPr>
      <w:r w:rsidRPr="00194192">
        <w:rPr>
          <w:rFonts w:eastAsiaTheme="minorHAnsi"/>
          <w:spacing w:val="-5"/>
          <w:lang w:val="uk-UA" w:eastAsia="en-US"/>
        </w:rPr>
        <w:t>Розмір кожної конструкції</w:t>
      </w:r>
      <w:r w:rsidR="0047411E" w:rsidRPr="00194192">
        <w:rPr>
          <w:rFonts w:eastAsiaTheme="minorHAnsi"/>
          <w:spacing w:val="-5"/>
          <w:lang w:val="uk-UA" w:eastAsia="en-US"/>
        </w:rPr>
        <w:t xml:space="preserve"> при улаштування повинен бути</w:t>
      </w:r>
      <w:r w:rsidRPr="00194192">
        <w:rPr>
          <w:rFonts w:eastAsiaTheme="minorHAnsi"/>
          <w:spacing w:val="-5"/>
          <w:lang w:val="uk-UA" w:eastAsia="en-US"/>
        </w:rPr>
        <w:t xml:space="preserve"> не менше -  ширина 3 м., довжина 2 м., товщина 200 мм.   </w:t>
      </w:r>
    </w:p>
    <w:p w:rsidR="0047411E" w:rsidRPr="00194192" w:rsidRDefault="00194192" w:rsidP="0047411E">
      <w:pPr>
        <w:pStyle w:val="1"/>
        <w:tabs>
          <w:tab w:val="left" w:pos="1418"/>
        </w:tabs>
        <w:ind w:firstLine="567"/>
        <w:jc w:val="both"/>
        <w:rPr>
          <w:rFonts w:eastAsiaTheme="minorHAnsi"/>
          <w:spacing w:val="-5"/>
          <w:lang w:val="uk-UA" w:eastAsia="en-US"/>
        </w:rPr>
      </w:pPr>
      <w:r w:rsidRPr="00194192">
        <w:rPr>
          <w:rFonts w:eastAsiaTheme="minorHAnsi"/>
          <w:spacing w:val="-5"/>
          <w:lang w:val="uk-UA" w:eastAsia="en-US"/>
        </w:rPr>
        <w:t xml:space="preserve">Між </w:t>
      </w:r>
      <w:r w:rsidR="0047411E" w:rsidRPr="00194192">
        <w:rPr>
          <w:rFonts w:eastAsiaTheme="minorHAnsi"/>
          <w:spacing w:val="-5"/>
          <w:lang w:val="uk-UA" w:eastAsia="en-US"/>
        </w:rPr>
        <w:t xml:space="preserve">перекриттями повинні бути </w:t>
      </w:r>
      <w:proofErr w:type="spellStart"/>
      <w:r w:rsidRPr="00194192">
        <w:rPr>
          <w:rFonts w:eastAsiaTheme="minorHAnsi"/>
          <w:spacing w:val="-5"/>
          <w:lang w:val="uk-UA" w:eastAsia="en-US"/>
        </w:rPr>
        <w:t>термошви</w:t>
      </w:r>
      <w:proofErr w:type="spellEnd"/>
      <w:r w:rsidRPr="00194192">
        <w:rPr>
          <w:rFonts w:eastAsiaTheme="minorHAnsi"/>
          <w:spacing w:val="-5"/>
          <w:lang w:val="uk-UA" w:eastAsia="en-US"/>
        </w:rPr>
        <w:t xml:space="preserve"> - дошка 200*25 мм. оброблена бітумним </w:t>
      </w:r>
      <w:proofErr w:type="spellStart"/>
      <w:r w:rsidRPr="00194192">
        <w:rPr>
          <w:rFonts w:eastAsiaTheme="minorHAnsi"/>
          <w:spacing w:val="-5"/>
          <w:lang w:val="uk-UA" w:eastAsia="en-US"/>
        </w:rPr>
        <w:t>праймером</w:t>
      </w:r>
      <w:proofErr w:type="spellEnd"/>
      <w:r w:rsidRPr="00194192">
        <w:rPr>
          <w:rFonts w:eastAsiaTheme="minorHAnsi"/>
          <w:spacing w:val="-5"/>
          <w:lang w:val="uk-UA" w:eastAsia="en-US"/>
        </w:rPr>
        <w:t>.</w:t>
      </w:r>
    </w:p>
    <w:p w:rsidR="0047411E" w:rsidRPr="00194192" w:rsidRDefault="0047411E" w:rsidP="0047411E">
      <w:pPr>
        <w:pStyle w:val="1"/>
        <w:tabs>
          <w:tab w:val="left" w:pos="1418"/>
        </w:tabs>
        <w:ind w:firstLine="567"/>
        <w:jc w:val="both"/>
        <w:rPr>
          <w:rFonts w:eastAsiaTheme="minorHAnsi"/>
          <w:spacing w:val="-5"/>
          <w:lang w:val="uk-UA" w:eastAsia="en-US"/>
        </w:rPr>
      </w:pPr>
    </w:p>
    <w:p w:rsidR="0072407A" w:rsidRPr="00194192" w:rsidRDefault="0072407A" w:rsidP="001C379C">
      <w:pPr>
        <w:pStyle w:val="1"/>
        <w:tabs>
          <w:tab w:val="left" w:pos="1418"/>
        </w:tabs>
        <w:ind w:firstLine="567"/>
        <w:jc w:val="both"/>
        <w:rPr>
          <w:b/>
          <w:lang w:val="uk-UA"/>
        </w:rPr>
      </w:pPr>
      <w:r w:rsidRPr="00194192">
        <w:rPr>
          <w:b/>
          <w:lang w:val="uk-UA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 у складі своєї пропозиції:</w:t>
      </w:r>
    </w:p>
    <w:p w:rsidR="00B5064E" w:rsidRPr="00194192" w:rsidRDefault="00B5064E" w:rsidP="00B5064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т</w:t>
      </w:r>
      <w:r w:rsidR="0072407A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ендерна пропозиція Учасника має містити гарантійний лист щодо надання послуг з дотриманням державних стандартів і правил, нормативних, технічних та інших вимог. </w:t>
      </w:r>
    </w:p>
    <w:p w:rsidR="0001698F" w:rsidRPr="00194192" w:rsidRDefault="00B5064E" w:rsidP="00B5064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п</w:t>
      </w:r>
      <w:r w:rsidR="0001698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ропозиції повинні враховувати вартість використання обладнання, паливо- мастильних матеріалів, транспортних витрат, витратних матеріалів та інших витрат, з</w:t>
      </w:r>
      <w:r w:rsidR="001C379C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гідно з чинним законодавством</w:t>
      </w:r>
      <w:r w:rsidR="00194192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;</w:t>
      </w:r>
    </w:p>
    <w:p w:rsidR="001C379C" w:rsidRPr="00194192" w:rsidRDefault="001C379C" w:rsidP="0001698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lastRenderedPageBreak/>
        <w:t>п</w:t>
      </w:r>
      <w:r w:rsidR="00B5064E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ослуги, які становлять предмет закупівлі, мають надаватися якісно та відповідати встановленим чинним законодавством України нормам, </w:t>
      </w:r>
      <w:r w:rsidR="00194192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5064E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характеристикам, правилам тощо. Для підтвердження якості учасник має надати довідку про те, що якість послуг, які будуть надаватися/виконуватися буде відповідати нормам чинного законодавства, а також гарантувати Замовнику, що у разі необхідності буде здійснювати надання послуг у вихідні, святкові дні</w:t>
      </w: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;</w:t>
      </w:r>
    </w:p>
    <w:p w:rsidR="0032676F" w:rsidRPr="00194192" w:rsidRDefault="001C379C" w:rsidP="003267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д</w:t>
      </w:r>
      <w:r w:rsidR="0001698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ля підтвердження застосування заходів із захисту довкілля під час надання послуг/виконання робіт та після їх завершення, учасник має надати довідку про застосування заходів із захисту довкілля з описом даних заходів.</w:t>
      </w:r>
    </w:p>
    <w:p w:rsidR="0001698F" w:rsidRPr="00194192" w:rsidRDefault="000A25E2" w:rsidP="003267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в</w:t>
      </w:r>
      <w:r w:rsidR="001C379C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зв’язку</w:t>
      </w:r>
      <w:r w:rsidR="00587E9A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FA1EF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з </w:t>
      </w:r>
      <w:r w:rsidR="00587E9A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обмеженим доступом</w:t>
      </w:r>
      <w:r w:rsidR="001C379C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587E9A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проїзних шляхів </w:t>
      </w:r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 місця поховання (міського кладовища) </w:t>
      </w:r>
      <w:r w:rsidR="00587E9A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та з метою</w:t>
      </w:r>
      <w:r w:rsidR="00FA1EF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proofErr w:type="spellStart"/>
      <w:r w:rsidR="00FA1EFF">
        <w:rPr>
          <w:rFonts w:ascii="Times New Roman" w:hAnsi="Times New Roman" w:cs="Times New Roman"/>
          <w:spacing w:val="-5"/>
          <w:sz w:val="24"/>
          <w:szCs w:val="24"/>
          <w:lang w:val="uk-UA"/>
        </w:rPr>
        <w:t>мі</w:t>
      </w:r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німізування</w:t>
      </w:r>
      <w:proofErr w:type="spellEnd"/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поділу </w:t>
      </w:r>
      <w:proofErr w:type="spellStart"/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фібробетону</w:t>
      </w:r>
      <w:proofErr w:type="spellEnd"/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на окремі ділянки</w:t>
      </w: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для більшої цілісності (улаштування) конструкції</w:t>
      </w:r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,</w:t>
      </w:r>
      <w:r w:rsidR="00B43321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587E9A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учасник повинен</w:t>
      </w:r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надати довідку з </w:t>
      </w:r>
      <w:r w:rsidR="00587E9A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підтверд</w:t>
      </w:r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женням</w:t>
      </w:r>
      <w:r w:rsidR="00587E9A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43321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наявн</w:t>
      </w:r>
      <w:r w:rsidR="0032676F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ості </w:t>
      </w:r>
      <w:r w:rsidR="00B43321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легкого мобільн</w:t>
      </w:r>
      <w:r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ого</w:t>
      </w:r>
      <w:r w:rsidR="00B43321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бетонозмішувача, </w:t>
      </w:r>
      <w:r w:rsidR="0047411E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="00B43321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який виготовляє від 0,6 до 1 м3 бетону за одне завантаження, швидкість одного змішування до 10 хвилин.</w:t>
      </w:r>
    </w:p>
    <w:p w:rsidR="000A25E2" w:rsidRPr="00194192" w:rsidRDefault="00CF3D93" w:rsidP="000A25E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учасник на</w:t>
      </w:r>
      <w:r w:rsidR="000A25E2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дає га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ра</w:t>
      </w:r>
      <w:r w:rsidR="000A25E2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>нтійний лист, в якому гарантує при підписанні актів наданих послуг  надавати копії сертифікатів якості та копії накладних (або чеків) на основні матеріали, які будуть використані при вико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нанні послуг для підтвердження ї</w:t>
      </w:r>
      <w:r w:rsidR="000A25E2" w:rsidRPr="0019419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х якості та вартості. </w:t>
      </w:r>
    </w:p>
    <w:p w:rsidR="000A25E2" w:rsidRPr="00194192" w:rsidRDefault="0047411E" w:rsidP="000A25E2">
      <w:pPr>
        <w:ind w:firstLine="567"/>
        <w:rPr>
          <w:rFonts w:ascii="Times New Roman" w:hAnsi="Times New Roman" w:cs="Times New Roman"/>
          <w:i/>
          <w:spacing w:val="-5"/>
          <w:sz w:val="24"/>
          <w:szCs w:val="24"/>
          <w:lang w:val="uk-UA"/>
        </w:rPr>
      </w:pPr>
      <w:r w:rsidRPr="00194192">
        <w:rPr>
          <w:rFonts w:ascii="Times New Roman" w:hAnsi="Times New Roman" w:cs="Times New Roman"/>
          <w:i/>
          <w:spacing w:val="-5"/>
          <w:sz w:val="24"/>
          <w:szCs w:val="24"/>
          <w:lang w:val="uk-UA"/>
        </w:rPr>
        <w:t>*</w:t>
      </w:r>
      <w:r w:rsidR="000A25E2" w:rsidRPr="00194192">
        <w:rPr>
          <w:rFonts w:ascii="Times New Roman" w:hAnsi="Times New Roman" w:cs="Times New Roman"/>
          <w:i/>
          <w:spacing w:val="-5"/>
          <w:sz w:val="24"/>
          <w:szCs w:val="24"/>
          <w:lang w:val="uk-UA"/>
        </w:rPr>
        <w:t>У разі, якщо послуга не відповідає технічним вимогам Замовника або Учасник не в змозі виконати умови Замовника, пропозиція відхиляється.</w:t>
      </w:r>
    </w:p>
    <w:p w:rsidR="000A25E2" w:rsidRPr="000A25E2" w:rsidRDefault="000A25E2" w:rsidP="000A25E2">
      <w:pPr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sectPr w:rsidR="000A25E2" w:rsidRPr="000A25E2" w:rsidSect="00BE6D5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5972"/>
    <w:multiLevelType w:val="hybridMultilevel"/>
    <w:tmpl w:val="B32E61EE"/>
    <w:lvl w:ilvl="0" w:tplc="2E829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1FCC"/>
    <w:multiLevelType w:val="multilevel"/>
    <w:tmpl w:val="0FAE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E1FF5"/>
    <w:multiLevelType w:val="hybridMultilevel"/>
    <w:tmpl w:val="0286373A"/>
    <w:lvl w:ilvl="0" w:tplc="C95EBF8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9004F47"/>
    <w:multiLevelType w:val="multilevel"/>
    <w:tmpl w:val="32AC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38"/>
    <w:rsid w:val="000066F9"/>
    <w:rsid w:val="0001698F"/>
    <w:rsid w:val="00043B1D"/>
    <w:rsid w:val="00074636"/>
    <w:rsid w:val="00086763"/>
    <w:rsid w:val="00097739"/>
    <w:rsid w:val="000A25E2"/>
    <w:rsid w:val="000D753E"/>
    <w:rsid w:val="0010063E"/>
    <w:rsid w:val="001024CD"/>
    <w:rsid w:val="00104781"/>
    <w:rsid w:val="00124736"/>
    <w:rsid w:val="00134BBE"/>
    <w:rsid w:val="001453FF"/>
    <w:rsid w:val="00150AEA"/>
    <w:rsid w:val="00164487"/>
    <w:rsid w:val="00194192"/>
    <w:rsid w:val="00196E4B"/>
    <w:rsid w:val="001B5A11"/>
    <w:rsid w:val="001C379C"/>
    <w:rsid w:val="001C39BA"/>
    <w:rsid w:val="001D6E57"/>
    <w:rsid w:val="001E2DD7"/>
    <w:rsid w:val="00211041"/>
    <w:rsid w:val="00281BDF"/>
    <w:rsid w:val="002964E6"/>
    <w:rsid w:val="002D133E"/>
    <w:rsid w:val="002D21C8"/>
    <w:rsid w:val="002D3CC6"/>
    <w:rsid w:val="002D6C18"/>
    <w:rsid w:val="002F16B4"/>
    <w:rsid w:val="002F1E32"/>
    <w:rsid w:val="0031617F"/>
    <w:rsid w:val="0032676F"/>
    <w:rsid w:val="0033757F"/>
    <w:rsid w:val="003A20CB"/>
    <w:rsid w:val="003A4E7D"/>
    <w:rsid w:val="003B17F8"/>
    <w:rsid w:val="003B49B9"/>
    <w:rsid w:val="004175D8"/>
    <w:rsid w:val="00420360"/>
    <w:rsid w:val="0044428D"/>
    <w:rsid w:val="0047411E"/>
    <w:rsid w:val="004E4808"/>
    <w:rsid w:val="004F19EE"/>
    <w:rsid w:val="0051588A"/>
    <w:rsid w:val="005453D8"/>
    <w:rsid w:val="0055440A"/>
    <w:rsid w:val="0056118C"/>
    <w:rsid w:val="005734F3"/>
    <w:rsid w:val="0058035F"/>
    <w:rsid w:val="00587E9A"/>
    <w:rsid w:val="005A2416"/>
    <w:rsid w:val="005A78BE"/>
    <w:rsid w:val="005C525E"/>
    <w:rsid w:val="005D2B51"/>
    <w:rsid w:val="005E67A0"/>
    <w:rsid w:val="00600846"/>
    <w:rsid w:val="0060638B"/>
    <w:rsid w:val="00606B91"/>
    <w:rsid w:val="00645679"/>
    <w:rsid w:val="00650168"/>
    <w:rsid w:val="0065351E"/>
    <w:rsid w:val="00654089"/>
    <w:rsid w:val="006570A8"/>
    <w:rsid w:val="00657921"/>
    <w:rsid w:val="00671822"/>
    <w:rsid w:val="0067658E"/>
    <w:rsid w:val="00687F60"/>
    <w:rsid w:val="006D5712"/>
    <w:rsid w:val="006D6EAA"/>
    <w:rsid w:val="0072407A"/>
    <w:rsid w:val="007378C3"/>
    <w:rsid w:val="0076444C"/>
    <w:rsid w:val="007C3B92"/>
    <w:rsid w:val="007C667B"/>
    <w:rsid w:val="007E223E"/>
    <w:rsid w:val="007E2591"/>
    <w:rsid w:val="007F1234"/>
    <w:rsid w:val="008057E3"/>
    <w:rsid w:val="00825AC5"/>
    <w:rsid w:val="00830BC9"/>
    <w:rsid w:val="00875471"/>
    <w:rsid w:val="0088452B"/>
    <w:rsid w:val="00884DED"/>
    <w:rsid w:val="00892E2D"/>
    <w:rsid w:val="0089536F"/>
    <w:rsid w:val="008A51CA"/>
    <w:rsid w:val="008A7A91"/>
    <w:rsid w:val="0090324C"/>
    <w:rsid w:val="00910438"/>
    <w:rsid w:val="00930ED8"/>
    <w:rsid w:val="00935CFC"/>
    <w:rsid w:val="009B000A"/>
    <w:rsid w:val="00A11A49"/>
    <w:rsid w:val="00A375D8"/>
    <w:rsid w:val="00A46B50"/>
    <w:rsid w:val="00A730F2"/>
    <w:rsid w:val="00A73672"/>
    <w:rsid w:val="00AC6576"/>
    <w:rsid w:val="00AE5C43"/>
    <w:rsid w:val="00AF4E8C"/>
    <w:rsid w:val="00B10430"/>
    <w:rsid w:val="00B41B2F"/>
    <w:rsid w:val="00B43321"/>
    <w:rsid w:val="00B5064E"/>
    <w:rsid w:val="00B624E9"/>
    <w:rsid w:val="00B777FE"/>
    <w:rsid w:val="00B85395"/>
    <w:rsid w:val="00B875C7"/>
    <w:rsid w:val="00B96D66"/>
    <w:rsid w:val="00BA4AAD"/>
    <w:rsid w:val="00BB735C"/>
    <w:rsid w:val="00BC4C04"/>
    <w:rsid w:val="00BD12FB"/>
    <w:rsid w:val="00BE517C"/>
    <w:rsid w:val="00BE6D54"/>
    <w:rsid w:val="00C07FCE"/>
    <w:rsid w:val="00C242DF"/>
    <w:rsid w:val="00C25E60"/>
    <w:rsid w:val="00C37999"/>
    <w:rsid w:val="00C465F0"/>
    <w:rsid w:val="00C66949"/>
    <w:rsid w:val="00CE310E"/>
    <w:rsid w:val="00CE584A"/>
    <w:rsid w:val="00CF3D93"/>
    <w:rsid w:val="00D202E2"/>
    <w:rsid w:val="00D9090A"/>
    <w:rsid w:val="00D92184"/>
    <w:rsid w:val="00DB75D5"/>
    <w:rsid w:val="00DE201E"/>
    <w:rsid w:val="00DE24A6"/>
    <w:rsid w:val="00DF6314"/>
    <w:rsid w:val="00E21ED2"/>
    <w:rsid w:val="00E25CEB"/>
    <w:rsid w:val="00E26BEB"/>
    <w:rsid w:val="00E40E7F"/>
    <w:rsid w:val="00E525B9"/>
    <w:rsid w:val="00E6412B"/>
    <w:rsid w:val="00E65584"/>
    <w:rsid w:val="00E84520"/>
    <w:rsid w:val="00EC4FFD"/>
    <w:rsid w:val="00EF0AC5"/>
    <w:rsid w:val="00F60C7E"/>
    <w:rsid w:val="00F81DC7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CA2BD-8184-4000-B734-F4105D49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D54"/>
    <w:pPr>
      <w:spacing w:after="0" w:line="240" w:lineRule="auto"/>
    </w:pPr>
  </w:style>
  <w:style w:type="paragraph" w:customStyle="1" w:styleId="TableParagraph">
    <w:name w:val="Table Paragraph"/>
    <w:basedOn w:val="a"/>
    <w:uiPriority w:val="99"/>
    <w:qFormat/>
    <w:rsid w:val="00BE6D54"/>
    <w:pPr>
      <w:widowControl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Без интервала1"/>
    <w:link w:val="NoSpacingChar1"/>
    <w:qFormat/>
    <w:rsid w:val="0001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"/>
    <w:locked/>
    <w:rsid w:val="00016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3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2024-03-28T13:18:00Z</cp:lastPrinted>
  <dcterms:created xsi:type="dcterms:W3CDTF">2024-03-18T08:10:00Z</dcterms:created>
  <dcterms:modified xsi:type="dcterms:W3CDTF">2024-03-28T13:28:00Z</dcterms:modified>
</cp:coreProperties>
</file>