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A6C7" w14:textId="77777777" w:rsidR="0063663D"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4"/>
          <w:szCs w:val="24"/>
        </w:rPr>
        <w:t>ЗАТВЕРДЖЕНО»</w:t>
      </w:r>
    </w:p>
    <w:p w14:paraId="35D70346" w14:textId="77777777" w:rsidR="0063663D"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w:t>
      </w:r>
      <w:r>
        <w:rPr>
          <w:rFonts w:ascii="Times New Roman" w:eastAsia="Times New Roman" w:hAnsi="Times New Roman" w:cs="Times New Roman"/>
          <w:color w:val="000000"/>
          <w:sz w:val="24"/>
          <w:szCs w:val="24"/>
        </w:rPr>
        <w:t xml:space="preserve"> Уповноваженої особи</w:t>
      </w:r>
      <w:r>
        <w:rPr>
          <w:rFonts w:ascii="Times New Roman" w:eastAsia="Times New Roman" w:hAnsi="Times New Roman" w:cs="Times New Roman"/>
          <w:i/>
          <w:color w:val="000000"/>
          <w:sz w:val="24"/>
          <w:szCs w:val="24"/>
        </w:rPr>
        <w:t> </w:t>
      </w:r>
    </w:p>
    <w:p w14:paraId="14A56C40" w14:textId="77777777" w:rsidR="0063663D"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14:paraId="2936823B" w14:textId="77777777" w:rsidR="0063663D"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від 04.04.2024 № 3</w:t>
      </w:r>
    </w:p>
    <w:p w14:paraId="2B2EE701" w14:textId="77777777" w:rsidR="0063663D" w:rsidRDefault="0063663D">
      <w:pPr>
        <w:spacing w:after="0" w:line="240" w:lineRule="auto"/>
        <w:ind w:left="5952"/>
        <w:rPr>
          <w:rFonts w:ascii="Times New Roman" w:eastAsia="Times New Roman" w:hAnsi="Times New Roman" w:cs="Times New Roman"/>
          <w:sz w:val="24"/>
          <w:szCs w:val="24"/>
        </w:rPr>
      </w:pPr>
    </w:p>
    <w:p w14:paraId="4160D579" w14:textId="77777777" w:rsidR="0063663D"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_______________С.В. СЛЮСАРЕНКО</w:t>
      </w:r>
    </w:p>
    <w:p w14:paraId="3AEA6111" w14:textId="77777777" w:rsidR="0063663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C9AA869" w14:textId="77777777" w:rsidR="0063663D"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ТЕНДЕРНА ДОКУМЕНТАЦІЯ</w:t>
      </w:r>
    </w:p>
    <w:p w14:paraId="643B98D0" w14:textId="77777777" w:rsidR="0063663D"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ВІДКРИТІ ТОРГИ</w:t>
      </w:r>
    </w:p>
    <w:p w14:paraId="5D624724" w14:textId="77777777" w:rsidR="0063663D"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закупівлю за предметом:</w:t>
      </w:r>
    </w:p>
    <w:p w14:paraId="1E501948" w14:textId="77777777" w:rsidR="0063663D" w:rsidRDefault="0063663D">
      <w:pPr>
        <w:spacing w:after="0" w:line="240" w:lineRule="auto"/>
        <w:jc w:val="center"/>
        <w:rPr>
          <w:rFonts w:ascii="Times New Roman" w:eastAsia="Times New Roman" w:hAnsi="Times New Roman" w:cs="Times New Roman"/>
          <w:b/>
          <w:sz w:val="28"/>
          <w:szCs w:val="28"/>
        </w:rPr>
      </w:pPr>
    </w:p>
    <w:p w14:paraId="01E69389" w14:textId="77777777" w:rsidR="0063663D" w:rsidRDefault="00000000">
      <w:pPr>
        <w:spacing w:after="0" w:line="240" w:lineRule="auto"/>
        <w:ind w:right="-28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xml:space="preserve">: вулиця </w:t>
      </w:r>
      <w:proofErr w:type="spellStart"/>
      <w:r>
        <w:rPr>
          <w:rFonts w:ascii="Times New Roman" w:eastAsia="Times New Roman" w:hAnsi="Times New Roman" w:cs="Times New Roman"/>
          <w:b/>
          <w:sz w:val="24"/>
          <w:szCs w:val="24"/>
        </w:rPr>
        <w:t>вулиця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Родникова</w:t>
      </w:r>
      <w:proofErr w:type="spellEnd"/>
      <w:r>
        <w:rPr>
          <w:rFonts w:ascii="Times New Roman" w:eastAsia="Times New Roman" w:hAnsi="Times New Roman" w:cs="Times New Roman"/>
          <w:b/>
          <w:sz w:val="24"/>
          <w:szCs w:val="24"/>
        </w:rPr>
        <w:t>, 9,  місто Харків (код ДК 021:2015-45260000-7 Покрівельні роботи та інші спеціалізовані будівельні роботи)»</w:t>
      </w:r>
    </w:p>
    <w:p w14:paraId="05B6A0FA" w14:textId="77777777" w:rsidR="0063663D" w:rsidRDefault="0063663D">
      <w:pPr>
        <w:spacing w:after="0" w:line="240" w:lineRule="auto"/>
        <w:ind w:right="-284" w:firstLine="709"/>
        <w:jc w:val="center"/>
        <w:rPr>
          <w:rFonts w:ascii="Times New Roman" w:eastAsia="Times New Roman" w:hAnsi="Times New Roman" w:cs="Times New Roman"/>
          <w:b/>
          <w:sz w:val="24"/>
          <w:szCs w:val="24"/>
        </w:rPr>
      </w:pPr>
    </w:p>
    <w:p w14:paraId="4A4A3EC2" w14:textId="77777777" w:rsidR="0063663D" w:rsidRDefault="0063663D">
      <w:pPr>
        <w:spacing w:after="0" w:line="240" w:lineRule="auto"/>
        <w:ind w:right="-284" w:firstLine="709"/>
        <w:jc w:val="center"/>
        <w:rPr>
          <w:rFonts w:ascii="Times New Roman" w:eastAsia="Times New Roman" w:hAnsi="Times New Roman" w:cs="Times New Roman"/>
          <w:b/>
          <w:sz w:val="24"/>
          <w:szCs w:val="24"/>
        </w:rPr>
      </w:pPr>
    </w:p>
    <w:p w14:paraId="1D568232" w14:textId="77777777" w:rsidR="0063663D" w:rsidRDefault="0063663D">
      <w:pPr>
        <w:spacing w:after="0" w:line="240" w:lineRule="auto"/>
        <w:jc w:val="center"/>
        <w:rPr>
          <w:rFonts w:ascii="Times New Roman" w:eastAsia="Times New Roman" w:hAnsi="Times New Roman" w:cs="Times New Roman"/>
          <w:b/>
          <w:sz w:val="24"/>
          <w:szCs w:val="24"/>
        </w:rPr>
      </w:pPr>
    </w:p>
    <w:p w14:paraId="1ACD67AC" w14:textId="77777777" w:rsidR="0063663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50EEB1A" w14:textId="77777777" w:rsidR="0063663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Харків</w:t>
      </w:r>
    </w:p>
    <w:p w14:paraId="385E386F" w14:textId="77777777" w:rsidR="0063663D" w:rsidRDefault="00000000">
      <w:pPr>
        <w:spacing w:line="240" w:lineRule="auto"/>
        <w:rPr>
          <w:rFonts w:ascii="Times New Roman" w:eastAsia="Times New Roman" w:hAnsi="Times New Roman" w:cs="Times New Roman"/>
          <w:sz w:val="24"/>
          <w:szCs w:val="24"/>
        </w:rPr>
      </w:pPr>
      <w:r>
        <w:br w:type="page"/>
      </w:r>
    </w:p>
    <w:tbl>
      <w:tblPr>
        <w:tblStyle w:val="af1"/>
        <w:tblW w:w="9915" w:type="dxa"/>
        <w:tblInd w:w="-3" w:type="dxa"/>
        <w:tblLayout w:type="fixed"/>
        <w:tblLook w:val="0400" w:firstRow="0" w:lastRow="0" w:firstColumn="0" w:lastColumn="0" w:noHBand="0" w:noVBand="1"/>
      </w:tblPr>
      <w:tblGrid>
        <w:gridCol w:w="525"/>
        <w:gridCol w:w="3405"/>
        <w:gridCol w:w="5985"/>
      </w:tblGrid>
      <w:tr w:rsidR="0063663D" w14:paraId="58E131C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A7DB0F" w14:textId="77777777" w:rsidR="0063663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tc>
        <w:tc>
          <w:tcPr>
            <w:tcW w:w="9390"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F8B9507" w14:textId="77777777" w:rsidR="0063663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63663D" w14:paraId="322C3ED6" w14:textId="77777777">
        <w:trPr>
          <w:trHeight w:val="17"/>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2400326" w14:textId="77777777" w:rsidR="0063663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C5B0CD" w14:textId="77777777" w:rsidR="0063663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1CAD2C" w14:textId="77777777" w:rsidR="0063663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63663D" w14:paraId="4FF1AEE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6736704"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443E508"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B66947"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tc>
      </w:tr>
      <w:tr w:rsidR="0063663D" w14:paraId="349F8BAD"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5D05D65"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9B8E03"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BA3C3E8" w14:textId="77777777" w:rsidR="0063663D" w:rsidRDefault="0063663D">
            <w:pPr>
              <w:spacing w:after="0" w:line="240" w:lineRule="auto"/>
              <w:rPr>
                <w:rFonts w:ascii="Times New Roman" w:eastAsia="Times New Roman" w:hAnsi="Times New Roman" w:cs="Times New Roman"/>
                <w:sz w:val="24"/>
                <w:szCs w:val="24"/>
              </w:rPr>
            </w:pPr>
          </w:p>
        </w:tc>
      </w:tr>
      <w:tr w:rsidR="0063663D" w14:paraId="251FA01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7BE3101" w14:textId="77777777" w:rsidR="0063663D"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66AE64F"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120A3D" w14:textId="77777777" w:rsidR="0063663D"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63663D" w14:paraId="2F26C61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4CD18B" w14:textId="77777777" w:rsidR="0063663D"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30F96C4"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17ABCE" w14:textId="77777777" w:rsidR="0063663D"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63663D" w14:paraId="75F8151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D8957E8" w14:textId="77777777" w:rsidR="0063663D"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8FE6867"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59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2F7FA7A" w14:textId="77777777" w:rsidR="0063663D" w:rsidRDefault="00000000">
            <w:pPr>
              <w:widowControl w:val="0"/>
              <w:spacing w:after="0" w:line="240" w:lineRule="auto"/>
              <w:ind w:left="-27"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Слюсаренко Світлана Вікторівна - головний спеціаліст відділу координації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Департаменту житлово-комунального господарства Харківської міської ради, svitlanasliusar81@gmail.com </w:t>
            </w:r>
          </w:p>
          <w:p w14:paraId="2E5109F7" w14:textId="77777777" w:rsidR="0063663D" w:rsidRDefault="0063663D">
            <w:pPr>
              <w:widowControl w:val="0"/>
              <w:spacing w:after="0" w:line="240" w:lineRule="auto"/>
              <w:ind w:left="-27" w:right="-58"/>
              <w:rPr>
                <w:rFonts w:ascii="Times New Roman" w:eastAsia="Times New Roman" w:hAnsi="Times New Roman" w:cs="Times New Roman"/>
                <w:sz w:val="24"/>
                <w:szCs w:val="24"/>
              </w:rPr>
            </w:pPr>
          </w:p>
        </w:tc>
      </w:tr>
      <w:tr w:rsidR="0063663D" w14:paraId="4486AB4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4DA3FD" w14:textId="77777777" w:rsidR="0063663D"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2990756"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3BB53B3"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w:t>
            </w:r>
            <w:r>
              <w:rPr>
                <w:rFonts w:ascii="Times New Roman" w:eastAsia="Times New Roman" w:hAnsi="Times New Roman" w:cs="Times New Roman"/>
                <w:sz w:val="24"/>
                <w:szCs w:val="24"/>
              </w:rPr>
              <w:t xml:space="preserve">дкриті торги </w:t>
            </w:r>
          </w:p>
        </w:tc>
      </w:tr>
      <w:tr w:rsidR="0063663D" w14:paraId="03E07ED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D64C369" w14:textId="77777777" w:rsidR="0063663D"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A99B71"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EBD011D" w14:textId="77777777" w:rsidR="0063663D" w:rsidRDefault="0063663D">
            <w:pPr>
              <w:spacing w:after="0" w:line="240" w:lineRule="auto"/>
              <w:rPr>
                <w:rFonts w:ascii="Times New Roman" w:eastAsia="Times New Roman" w:hAnsi="Times New Roman" w:cs="Times New Roman"/>
                <w:sz w:val="24"/>
                <w:szCs w:val="24"/>
              </w:rPr>
            </w:pPr>
          </w:p>
        </w:tc>
      </w:tr>
      <w:tr w:rsidR="0063663D" w14:paraId="077F0F87" w14:textId="77777777">
        <w:trPr>
          <w:trHeight w:val="206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6DE420" w14:textId="77777777" w:rsidR="0063663D"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0D59569" w14:textId="77777777" w:rsidR="0063663D"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CD1CBAA"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вулиця </w:t>
            </w:r>
            <w:proofErr w:type="spellStart"/>
            <w:r>
              <w:rPr>
                <w:rFonts w:ascii="Times New Roman" w:eastAsia="Times New Roman" w:hAnsi="Times New Roman" w:cs="Times New Roman"/>
                <w:sz w:val="24"/>
                <w:szCs w:val="24"/>
              </w:rPr>
              <w:t>Родникова</w:t>
            </w:r>
            <w:proofErr w:type="spellEnd"/>
            <w:r>
              <w:rPr>
                <w:rFonts w:ascii="Times New Roman" w:eastAsia="Times New Roman" w:hAnsi="Times New Roman" w:cs="Times New Roman"/>
                <w:sz w:val="24"/>
                <w:szCs w:val="24"/>
              </w:rPr>
              <w:t>, 9,  місто Харків (код ДК 021:2015-45260000-7 Покрівельні роботи та інші спеціалізовані будівельні роботи)</w:t>
            </w:r>
          </w:p>
        </w:tc>
      </w:tr>
      <w:tr w:rsidR="0063663D" w14:paraId="476B8E7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0836E8F" w14:textId="77777777" w:rsidR="0063663D"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D35267C"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B124847"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без поділу на лоти</w:t>
            </w:r>
          </w:p>
        </w:tc>
      </w:tr>
      <w:tr w:rsidR="0063663D" w14:paraId="310DA52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45D17D" w14:textId="77777777" w:rsidR="0063663D"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58262DC"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17391B"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надання послуг: 61000, Україна, Харківська область, місто Харків, вулиця </w:t>
            </w:r>
            <w:proofErr w:type="spellStart"/>
            <w:r>
              <w:rPr>
                <w:rFonts w:ascii="Times New Roman" w:eastAsia="Times New Roman" w:hAnsi="Times New Roman" w:cs="Times New Roman"/>
                <w:sz w:val="24"/>
                <w:szCs w:val="24"/>
              </w:rPr>
              <w:t>Родникова</w:t>
            </w:r>
            <w:proofErr w:type="spellEnd"/>
            <w:r>
              <w:rPr>
                <w:rFonts w:ascii="Times New Roman" w:eastAsia="Times New Roman" w:hAnsi="Times New Roman" w:cs="Times New Roman"/>
                <w:sz w:val="24"/>
                <w:szCs w:val="24"/>
              </w:rPr>
              <w:t>, 9</w:t>
            </w:r>
          </w:p>
          <w:p w14:paraId="73F6C0EF" w14:textId="77777777" w:rsidR="0063663D" w:rsidRDefault="00000000">
            <w:pPr>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Обсяг надання послуг: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послуга.</w:t>
            </w:r>
          </w:p>
          <w:p w14:paraId="5C54820A"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відповідності до інформації про необхідні технічні, якісні та кількісні характеристики предмета закупівлі та </w:t>
            </w:r>
            <w:r>
              <w:rPr>
                <w:rFonts w:ascii="Times New Roman" w:eastAsia="Times New Roman" w:hAnsi="Times New Roman" w:cs="Times New Roman"/>
                <w:sz w:val="24"/>
                <w:szCs w:val="24"/>
              </w:rPr>
              <w:lastRenderedPageBreak/>
              <w:t>технічна специфікація до предмета закупівлі (додаток 3 тендерної документації).</w:t>
            </w:r>
          </w:p>
        </w:tc>
      </w:tr>
      <w:tr w:rsidR="0063663D" w14:paraId="42A8CE8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85BC1B" w14:textId="77777777" w:rsidR="0063663D"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8E4A12"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BC94E5"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sz w:val="24"/>
                <w:szCs w:val="24"/>
              </w:rPr>
              <w:t>30</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06</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4</w:t>
            </w:r>
          </w:p>
        </w:tc>
      </w:tr>
      <w:tr w:rsidR="0063663D" w14:paraId="656371C1" w14:textId="77777777">
        <w:trPr>
          <w:trHeight w:val="11204"/>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1074FB4"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899D9B"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A702EC1"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 окрім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CBE8E3B"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згідно затвердженої Мінекономіки типової форми Настанов щодо етичної поведінки учасників/потенційних учасників під час участі в публічних </w:t>
            </w:r>
            <w:proofErr w:type="spellStart"/>
            <w:r>
              <w:rPr>
                <w:rFonts w:ascii="Times New Roman" w:eastAsia="Times New Roman" w:hAnsi="Times New Roman" w:cs="Times New Roman"/>
                <w:sz w:val="24"/>
                <w:szCs w:val="24"/>
              </w:rPr>
              <w:t>закупівлях</w:t>
            </w:r>
            <w:proofErr w:type="spellEnd"/>
            <w:r>
              <w:rPr>
                <w:rFonts w:ascii="Times New Roman" w:eastAsia="Times New Roman" w:hAnsi="Times New Roman" w:cs="Times New Roman"/>
                <w:sz w:val="24"/>
                <w:szCs w:val="24"/>
              </w:rPr>
              <w:t xml:space="preserve"> з наданням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відповідального за контроль та дотримання заходів і політики етичної поведінки при участі у процедурах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3663D" w14:paraId="28A44B7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30FF0ED"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59A7896"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10C6B8"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sz w:val="24"/>
                <w:szCs w:val="24"/>
              </w:rPr>
              <w:t>.</w:t>
            </w:r>
          </w:p>
        </w:tc>
      </w:tr>
      <w:tr w:rsidR="0063663D" w14:paraId="6551055D"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F03780"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8DFB79"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F51FDB" w14:textId="77777777" w:rsidR="0063663D"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14:paraId="42D3F8AA" w14:textId="77777777" w:rsidR="0063663D"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іншою мовою. Визначальним є текст, викладений українською мовою.</w:t>
            </w:r>
          </w:p>
          <w:p w14:paraId="58F75F02"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504B3FC"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40797F5F"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14:paraId="10183B87"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CB05F9F"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663D" w14:paraId="0043EF6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47C03C"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A6BCE1"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A8B99D"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1E58683" w14:textId="77777777" w:rsidR="0063663D" w:rsidRDefault="0063663D">
            <w:pPr>
              <w:spacing w:before="150" w:after="150" w:line="240" w:lineRule="auto"/>
              <w:jc w:val="both"/>
              <w:rPr>
                <w:rFonts w:ascii="Times New Roman" w:eastAsia="Times New Roman" w:hAnsi="Times New Roman" w:cs="Times New Roman"/>
                <w:sz w:val="24"/>
                <w:szCs w:val="24"/>
              </w:rPr>
            </w:pPr>
          </w:p>
          <w:p w14:paraId="3D663E8F" w14:textId="77777777" w:rsidR="0063663D" w:rsidRDefault="0063663D">
            <w:pPr>
              <w:spacing w:before="150" w:after="150" w:line="240" w:lineRule="auto"/>
              <w:jc w:val="both"/>
              <w:rPr>
                <w:rFonts w:ascii="Times New Roman" w:eastAsia="Times New Roman" w:hAnsi="Times New Roman" w:cs="Times New Roman"/>
                <w:sz w:val="24"/>
                <w:szCs w:val="24"/>
              </w:rPr>
            </w:pPr>
          </w:p>
          <w:p w14:paraId="167ACE2A" w14:textId="77777777" w:rsidR="0063663D" w:rsidRDefault="0063663D">
            <w:pPr>
              <w:spacing w:before="150" w:after="150" w:line="240" w:lineRule="auto"/>
              <w:jc w:val="both"/>
              <w:rPr>
                <w:rFonts w:ascii="Times New Roman" w:eastAsia="Times New Roman" w:hAnsi="Times New Roman" w:cs="Times New Roman"/>
                <w:sz w:val="24"/>
                <w:szCs w:val="24"/>
              </w:rPr>
            </w:pPr>
          </w:p>
        </w:tc>
      </w:tr>
      <w:tr w:rsidR="0063663D" w14:paraId="5D54A18F"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4453EE"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63663D" w14:paraId="17FCC082" w14:textId="77777777">
        <w:trPr>
          <w:trHeight w:val="235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C6D9D9"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A006B6"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32E6CC1"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470EECAC"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w:t>
            </w:r>
          </w:p>
          <w:p w14:paraId="229A640B"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63663D" w14:paraId="18678C01" w14:textId="77777777">
        <w:trPr>
          <w:trHeight w:val="7385"/>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71EBC7"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6F261B"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15BA78"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а саме в оголошенні про проведення відкритих торгів,</w:t>
            </w:r>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9F4D5C"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63663D" w14:paraId="68D8F234" w14:textId="77777777">
        <w:trPr>
          <w:trHeight w:val="335"/>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72C413"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Інструкція з підготовки тендерної пропозиції</w:t>
            </w:r>
          </w:p>
        </w:tc>
      </w:tr>
      <w:tr w:rsidR="0063663D" w14:paraId="586E8C2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5D0A4E8"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0534754"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5E41C55"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w:t>
            </w:r>
            <w:r>
              <w:rPr>
                <w:rFonts w:ascii="Times New Roman" w:eastAsia="Times New Roman" w:hAnsi="Times New Roman" w:cs="Times New Roman"/>
                <w:sz w:val="24"/>
                <w:szCs w:val="24"/>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color w:val="000000"/>
                <w:sz w:val="24"/>
                <w:szCs w:val="24"/>
              </w:rPr>
              <w:t>шляхом завантаження:</w:t>
            </w:r>
          </w:p>
          <w:p w14:paraId="7B1FD945" w14:textId="77777777" w:rsidR="0063663D" w:rsidRDefault="00000000">
            <w:pPr>
              <w:numPr>
                <w:ilvl w:val="0"/>
                <w:numId w:val="18"/>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0FDF1797" w14:textId="77777777" w:rsidR="0063663D" w:rsidRDefault="0000000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Pr>
                <w:rFonts w:ascii="Times New Roman" w:eastAsia="Times New Roman" w:hAnsi="Times New Roman" w:cs="Times New Roman"/>
                <w:sz w:val="24"/>
                <w:szCs w:val="24"/>
              </w:rPr>
              <w:t>пунктом 47 Особливостей у відповідності до вимог визначених у Додатку № 2 до тендерної документації;</w:t>
            </w:r>
          </w:p>
          <w:p w14:paraId="7C98C881" w14:textId="77777777" w:rsidR="0063663D" w:rsidRDefault="0000000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відповідності пропозиції Учасника технічним, якісним та кількісним характеристикам предмета закупівлі та технічній специфікації до предмета закупівлі Учасники надають документи та інформацію, зазначену та викладену у Додатку № 3 до тендерної документації, та відповідний лист погодження з вимогами, викладеними у Додатку № 3 до тендерної документації;</w:t>
            </w:r>
          </w:p>
          <w:p w14:paraId="0C50F61A" w14:textId="77777777" w:rsidR="0063663D" w:rsidRDefault="00000000">
            <w:pPr>
              <w:numPr>
                <w:ilvl w:val="0"/>
                <w:numId w:val="1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18FDF307" w14:textId="77777777" w:rsidR="0063663D" w:rsidRDefault="0000000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Pr>
                <w:rFonts w:ascii="Times New Roman" w:eastAsia="Times New Roman" w:hAnsi="Times New Roman" w:cs="Times New Roman"/>
                <w:sz w:val="24"/>
                <w:szCs w:val="24"/>
              </w:rPr>
              <w:t>ї</w:t>
            </w:r>
            <w:r>
              <w:rPr>
                <w:rFonts w:ascii="Times New Roman" w:eastAsia="Times New Roman" w:hAnsi="Times New Roman" w:cs="Times New Roman"/>
                <w:color w:val="000000"/>
                <w:sz w:val="24"/>
                <w:szCs w:val="24"/>
              </w:rPr>
              <w:t xml:space="preserve"> є не керівник </w:t>
            </w:r>
            <w:r>
              <w:rPr>
                <w:rFonts w:ascii="Times New Roman" w:eastAsia="Times New Roman" w:hAnsi="Times New Roman" w:cs="Times New Roman"/>
                <w:sz w:val="24"/>
                <w:szCs w:val="24"/>
              </w:rPr>
              <w:t>учасника;</w:t>
            </w:r>
          </w:p>
          <w:p w14:paraId="61611421" w14:textId="77777777" w:rsidR="0063663D" w:rsidRDefault="0000000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для учасників-юридичних осіб –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14:paraId="644E25DB" w14:textId="77777777" w:rsidR="0063663D" w:rsidRDefault="00000000">
            <w:pPr>
              <w:numPr>
                <w:ilvl w:val="0"/>
                <w:numId w:val="18"/>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250F23AB"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0D81A2E"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14:paraId="0D71465C"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DA4DD43"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 </w:t>
            </w:r>
          </w:p>
          <w:p w14:paraId="48C922C3"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або удосконаленого </w:t>
            </w:r>
            <w:r>
              <w:rPr>
                <w:rFonts w:ascii="Times New Roman" w:eastAsia="Times New Roman" w:hAnsi="Times New Roman" w:cs="Times New Roman"/>
                <w:sz w:val="24"/>
                <w:szCs w:val="24"/>
              </w:rPr>
              <w:t>електронного підпису</w:t>
            </w:r>
            <w:r>
              <w:rPr>
                <w:rFonts w:ascii="Times New Roman" w:eastAsia="Times New Roman" w:hAnsi="Times New Roman" w:cs="Times New Roman"/>
                <w:color w:val="000000"/>
                <w:sz w:val="24"/>
                <w:szCs w:val="24"/>
              </w:rPr>
              <w:t>. </w:t>
            </w:r>
          </w:p>
          <w:p w14:paraId="6747815B"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під час подання тендерної пропозиції має накласти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xml:space="preserve"> особи уповноваженої на підписання тендерної пропозиції учасника. </w:t>
            </w:r>
          </w:p>
          <w:p w14:paraId="3D3A7D30"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7E18151"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w:t>
            </w:r>
            <w:r>
              <w:rPr>
                <w:color w:val="000000"/>
              </w:rPr>
              <w:t xml:space="preserve"> </w:t>
            </w:r>
            <w:r>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14:paraId="712AC2F6"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10863C99" w14:textId="77777777" w:rsidR="0063663D" w:rsidRDefault="00000000">
            <w:pPr>
              <w:numPr>
                <w:ilvl w:val="0"/>
                <w:numId w:val="8"/>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 </w:t>
            </w:r>
          </w:p>
          <w:p w14:paraId="08CF7C59" w14:textId="77777777" w:rsidR="0063663D"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1AE20FBE" w14:textId="77777777" w:rsidR="0063663D"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6D82A258" w14:textId="77777777" w:rsidR="0063663D"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479AFE42" w14:textId="77777777" w:rsidR="0063663D"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застосування правил переносу частини слова з рядка в рядок; </w:t>
            </w:r>
          </w:p>
          <w:p w14:paraId="20190039" w14:textId="77777777" w:rsidR="0063663D"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 </w:t>
            </w:r>
          </w:p>
          <w:p w14:paraId="7A2A40CD" w14:textId="77777777" w:rsidR="0063663D" w:rsidRDefault="00000000">
            <w:pPr>
              <w:numPr>
                <w:ilvl w:val="0"/>
                <w:numId w:val="8"/>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204FE38"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4998D06"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1C4017D"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779D7DF"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85B8073"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w:t>
            </w:r>
          </w:p>
          <w:p w14:paraId="095B67C4"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2A86F39"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2BF86D7"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color w:val="000000"/>
                <w:sz w:val="24"/>
                <w:szCs w:val="24"/>
              </w:rPr>
              <w:lastRenderedPageBreak/>
              <w:t>(наприклад, переклад документа завізований перекладачем тощо). </w:t>
            </w:r>
          </w:p>
          <w:p w14:paraId="68A4DB97"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78928DE"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3F18D8A"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4CFA625" w14:textId="77777777" w:rsidR="0063663D"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Приклади  формальних (несуттєвих) помилок, допущення яких учасниками не призведе до відхилення їх тендерних пропозицій:</w:t>
            </w:r>
          </w:p>
          <w:p w14:paraId="0D25D06E" w14:textId="77777777" w:rsidR="0063663D" w:rsidRDefault="00000000">
            <w:pPr>
              <w:numPr>
                <w:ilvl w:val="0"/>
                <w:numId w:val="17"/>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замість «місто Львів»; </w:t>
            </w:r>
          </w:p>
          <w:p w14:paraId="7EB9D084" w14:textId="77777777" w:rsidR="0063663D" w:rsidRDefault="00000000">
            <w:pPr>
              <w:numPr>
                <w:ilvl w:val="0"/>
                <w:numId w:val="1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39815FE0" w14:textId="77777777" w:rsidR="0063663D" w:rsidRDefault="00000000">
            <w:pPr>
              <w:numPr>
                <w:ilvl w:val="0"/>
                <w:numId w:val="1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347DB09" w14:textId="77777777" w:rsidR="0063663D" w:rsidRDefault="00000000">
            <w:pPr>
              <w:numPr>
                <w:ilvl w:val="0"/>
                <w:numId w:val="1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66AAA6C2" w14:textId="77777777" w:rsidR="0063663D" w:rsidRDefault="00000000">
            <w:pPr>
              <w:numPr>
                <w:ilvl w:val="0"/>
                <w:numId w:val="1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3BCC4D0C" w14:textId="77777777" w:rsidR="0063663D" w:rsidRDefault="00000000">
            <w:pPr>
              <w:numPr>
                <w:ilvl w:val="0"/>
                <w:numId w:val="1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27B4A6C5" w14:textId="77777777" w:rsidR="0063663D" w:rsidRDefault="00000000">
            <w:pPr>
              <w:numPr>
                <w:ilvl w:val="0"/>
                <w:numId w:val="17"/>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63663D" w14:paraId="1A2AF71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02F9E0"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138D414"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C2CC49B"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та умови до забезпечення тендерної пропозиції зазначаються у відповідності до Закону, Вимог до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 форми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w:t>
            </w:r>
            <w:r>
              <w:rPr>
                <w:rFonts w:ascii="Times New Roman" w:eastAsia="Times New Roman" w:hAnsi="Times New Roman" w:cs="Times New Roman"/>
                <w:sz w:val="24"/>
                <w:szCs w:val="24"/>
              </w:rPr>
              <w:lastRenderedPageBreak/>
              <w:t>затвердження форми і Вимог до забезпечення тендерної пропозиції/пропозиції» (далі - Форма), з урахуванням Особливостей.</w:t>
            </w:r>
          </w:p>
          <w:p w14:paraId="7C7F30C4"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забезпечення тендерної пропозиції: </w:t>
            </w:r>
            <w:r>
              <w:rPr>
                <w:rFonts w:ascii="Times New Roman" w:eastAsia="Times New Roman" w:hAnsi="Times New Roman" w:cs="Times New Roman"/>
                <w:b/>
                <w:sz w:val="24"/>
                <w:szCs w:val="24"/>
              </w:rPr>
              <w:t>3300,00</w:t>
            </w:r>
            <w:r>
              <w:rPr>
                <w:rFonts w:ascii="Times New Roman" w:eastAsia="Times New Roman" w:hAnsi="Times New Roman" w:cs="Times New Roman"/>
                <w:sz w:val="24"/>
                <w:szCs w:val="24"/>
              </w:rPr>
              <w:t xml:space="preserve"> грн.</w:t>
            </w:r>
          </w:p>
          <w:p w14:paraId="367ED3D4"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тендерної пропозиції: електронна</w:t>
            </w:r>
            <w:r>
              <w:rPr>
                <w:rFonts w:ascii="Times New Roman" w:eastAsia="Times New Roman" w:hAnsi="Times New Roman" w:cs="Times New Roman"/>
                <w:color w:val="454545"/>
                <w:sz w:val="24"/>
                <w:szCs w:val="24"/>
              </w:rPr>
              <w:t xml:space="preserve"> </w:t>
            </w:r>
            <w:r>
              <w:rPr>
                <w:rFonts w:ascii="Times New Roman" w:eastAsia="Times New Roman" w:hAnsi="Times New Roman" w:cs="Times New Roman"/>
                <w:sz w:val="24"/>
                <w:szCs w:val="24"/>
              </w:rPr>
              <w:t>банківська гарантія.</w:t>
            </w:r>
          </w:p>
          <w:p w14:paraId="3A9132F9"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 строк дії тендерної пропозиції.</w:t>
            </w:r>
          </w:p>
          <w:p w14:paraId="6F5D54D1"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залишок коштів на рахунку покриття, виданої Банком-гарантом, завіреної печаткою Банку-гаранта та підписом уповноваженої особи такого Банку-гаранта із надання підтвердження повноважень такої Уповноваженої особи від Банку-гаранта.</w:t>
            </w:r>
          </w:p>
          <w:p w14:paraId="6A8BD860"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(далі - гарант).</w:t>
            </w:r>
          </w:p>
          <w:p w14:paraId="11F8BDDC"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14:paraId="0E985261"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w:t>
            </w:r>
          </w:p>
          <w:p w14:paraId="049D0239"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w:t>
            </w:r>
          </w:p>
          <w:p w14:paraId="166AF3EA"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w:t>
            </w:r>
          </w:p>
          <w:p w14:paraId="201C1C1F"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716F8901"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w:t>
            </w:r>
          </w:p>
          <w:p w14:paraId="5EE7F0F5"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w:t>
            </w:r>
          </w:p>
          <w:p w14:paraId="0313E21D"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w:t>
            </w:r>
          </w:p>
          <w:p w14:paraId="2CD636B9"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SWIFT-адреса гаранта;</w:t>
            </w:r>
          </w:p>
          <w:p w14:paraId="30FE15ED"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w:t>
            </w:r>
          </w:p>
          <w:p w14:paraId="1E9BF0DA"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w:t>
            </w:r>
          </w:p>
          <w:p w14:paraId="5F73A72C"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w:t>
            </w:r>
          </w:p>
          <w:p w14:paraId="72E123DD"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4229D02B"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w:t>
            </w:r>
          </w:p>
          <w:p w14:paraId="5923D743"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4F0616C8"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14:paraId="37A4D0A5"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w:t>
            </w:r>
          </w:p>
          <w:p w14:paraId="48E5298D"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14:paraId="1A77D75F"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14:paraId="028E267D"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w:t>
            </w:r>
          </w:p>
          <w:p w14:paraId="22674E1F"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14:paraId="702CC464"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w:t>
            </w:r>
          </w:p>
          <w:p w14:paraId="00772BF7"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14:paraId="76DE4B1D"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w:t>
            </w:r>
            <w:r>
              <w:rPr>
                <w:rFonts w:ascii="Times New Roman" w:eastAsia="Times New Roman" w:hAnsi="Times New Roman" w:cs="Times New Roman"/>
                <w:sz w:val="24"/>
                <w:szCs w:val="24"/>
              </w:rPr>
              <w:lastRenderedPageBreak/>
              <w:t xml:space="preserve">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вебсайта</w:t>
            </w:r>
            <w:proofErr w:type="spellEnd"/>
            <w:r>
              <w:rPr>
                <w:rFonts w:ascii="Times New Roman" w:eastAsia="Times New Roman" w:hAnsi="Times New Roman" w:cs="Times New Roman"/>
                <w:sz w:val="24"/>
                <w:szCs w:val="24"/>
              </w:rPr>
              <w:t xml:space="preserve"> інформаційно-телекомунікаційної системи «PROZORRO»;</w:t>
            </w:r>
          </w:p>
          <w:p w14:paraId="48F49411"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w:t>
            </w:r>
          </w:p>
          <w:p w14:paraId="69E13135"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w:t>
            </w:r>
          </w:p>
          <w:p w14:paraId="7F29A0B5"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w:t>
            </w:r>
          </w:p>
          <w:p w14:paraId="7B073384"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w:t>
            </w:r>
          </w:p>
          <w:p w14:paraId="5E504138"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w:t>
            </w:r>
          </w:p>
          <w:p w14:paraId="47E2DB55"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65052B7C"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w:t>
            </w:r>
          </w:p>
          <w:p w14:paraId="12622B90"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w:t>
            </w:r>
          </w:p>
          <w:p w14:paraId="5B2DDBEC"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14:paraId="095AD7D0"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w:t>
            </w:r>
          </w:p>
          <w:p w14:paraId="7D15E953"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4CA52025" w14:textId="77777777" w:rsidR="0063663D"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*даний пункт виконується у випадку встановлення вимоги щодо надання гарантії на паперовому носії.</w:t>
            </w:r>
          </w:p>
          <w:p w14:paraId="75CF032E" w14:textId="77777777" w:rsidR="0063663D"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21B9F074"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видана банком-гарантом на умовах грошового забезпечення (покриття).</w:t>
            </w:r>
          </w:p>
          <w:p w14:paraId="754A459D" w14:textId="77777777" w:rsidR="0063663D" w:rsidRDefault="00000000">
            <w:pPr>
              <w:spacing w:before="240" w:after="0" w:line="240" w:lineRule="auto"/>
              <w:ind w:firstLine="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Банківська гарантія оформляється в банку, який має ліцензію Національного банку України.</w:t>
            </w:r>
          </w:p>
          <w:p w14:paraId="3D5D9012"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14:paraId="496CDC14" w14:textId="77777777" w:rsidR="0063663D" w:rsidRDefault="00000000">
            <w:pPr>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p w14:paraId="7043C76D"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14:paraId="73468A78"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житлово-комунального господарства Харківської міської ради</w:t>
            </w:r>
          </w:p>
          <w:p w14:paraId="743B10C1"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14:paraId="18FEC35D" w14:textId="77777777" w:rsidR="0063663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14:paraId="00997505" w14:textId="77777777" w:rsidR="0063663D"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tc>
      </w:tr>
      <w:tr w:rsidR="0063663D" w14:paraId="4569D86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D550E21"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30C1437"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5985" w:type="dxa"/>
            <w:tcBorders>
              <w:top w:val="single" w:sz="5" w:space="0" w:color="000000"/>
              <w:left w:val="single" w:sz="5" w:space="0" w:color="000000"/>
              <w:bottom w:val="single" w:sz="5" w:space="0" w:color="000000"/>
              <w:right w:val="single" w:sz="5" w:space="0" w:color="000000"/>
            </w:tcBorders>
            <w:shd w:val="clear" w:color="auto" w:fill="FFFFFF"/>
            <w:tcMar>
              <w:top w:w="40" w:type="dxa"/>
              <w:left w:w="40" w:type="dxa"/>
              <w:bottom w:w="40" w:type="dxa"/>
              <w:right w:w="40" w:type="dxa"/>
            </w:tcMar>
          </w:tcPr>
          <w:p w14:paraId="41706CC1"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повертається учаснику у разі:</w:t>
            </w:r>
          </w:p>
          <w:p w14:paraId="1108FBBD"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14:paraId="20AE2A0C"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14:paraId="548FE487"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відкликання тендерної пропозиції до закінчення строку її подання;</w:t>
            </w:r>
          </w:p>
          <w:p w14:paraId="2F3EE48A"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1AD23F47"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повертається у разі:</w:t>
            </w:r>
          </w:p>
          <w:p w14:paraId="0ED242AA"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3542C41"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3F3291CE"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ненадання переможцем процедури закупівлі у строк, визначений частиною шостою статті 17 Закону, документів, що підтверджують відсутність підстав, </w:t>
            </w:r>
            <w:r>
              <w:rPr>
                <w:rFonts w:ascii="Times New Roman" w:eastAsia="Times New Roman" w:hAnsi="Times New Roman" w:cs="Times New Roman"/>
                <w:sz w:val="24"/>
                <w:szCs w:val="24"/>
              </w:rPr>
              <w:lastRenderedPageBreak/>
              <w:t>встановлених статтею 17 Закону (зазначена підстава застосовується з урахуванням Особливостей;</w:t>
            </w:r>
          </w:p>
          <w:p w14:paraId="12105DA9"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8E5DD5C"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63663D" w14:paraId="604FAD49" w14:textId="77777777">
        <w:trPr>
          <w:trHeight w:val="598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89FDA49"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85E773"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70D2B2C" w14:textId="77777777" w:rsidR="0063663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w:t>
            </w:r>
          </w:p>
          <w:p w14:paraId="7F3E35AF" w14:textId="77777777" w:rsidR="0063663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09E80B3" w14:textId="77777777" w:rsidR="0063663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w:t>
            </w:r>
            <w:hyperlink r:id="rId6"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7"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2BBC0BE6" w14:textId="77777777" w:rsidR="0063663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hyperlink r:id="rId8"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9"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68214B39" w14:textId="77777777" w:rsidR="0063663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3663D" w14:paraId="6A8D9CE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B7B2B7"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1501796"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встановлені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w:t>
            </w:r>
          </w:p>
        </w:tc>
        <w:tc>
          <w:tcPr>
            <w:tcW w:w="5985"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78A587C4" w14:textId="77777777" w:rsidR="0063663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015665D7" w14:textId="77777777" w:rsidR="0063663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відкритих торгах встановлені пунктом 47 Особливостей. Спосіб підтвердження відсутності підстав для відхилення учасників викладений у Додатку № 2 до тендерної документації.</w:t>
            </w:r>
          </w:p>
        </w:tc>
      </w:tr>
      <w:tr w:rsidR="0063663D" w14:paraId="5DEE5D1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C85149"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0E331E5"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Pr>
                <w:rFonts w:ascii="Times New Roman" w:eastAsia="Times New Roman" w:hAnsi="Times New Roman" w:cs="Times New Roman"/>
                <w:sz w:val="24"/>
                <w:szCs w:val="24"/>
              </w:rPr>
              <w:t>упівлі та технічна специфікація до предмета закупівлі</w:t>
            </w:r>
          </w:p>
        </w:tc>
        <w:tc>
          <w:tcPr>
            <w:tcW w:w="5985"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26FDBF89" w14:textId="77777777" w:rsidR="0063663D"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w:t>
            </w:r>
          </w:p>
          <w:p w14:paraId="6FA9BE17" w14:textId="77777777" w:rsidR="0063663D" w:rsidRDefault="0063663D">
            <w:pPr>
              <w:spacing w:before="150" w:after="150" w:line="240" w:lineRule="auto"/>
              <w:jc w:val="both"/>
              <w:rPr>
                <w:rFonts w:ascii="Times New Roman" w:eastAsia="Times New Roman" w:hAnsi="Times New Roman" w:cs="Times New Roman"/>
                <w:color w:val="000000"/>
                <w:sz w:val="24"/>
                <w:szCs w:val="24"/>
              </w:rPr>
            </w:pPr>
          </w:p>
        </w:tc>
      </w:tr>
      <w:tr w:rsidR="0063663D" w14:paraId="3590F317" w14:textId="77777777">
        <w:trPr>
          <w:trHeight w:val="202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C765722"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2F97F08"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субпідрядника / </w:t>
            </w:r>
            <w:r>
              <w:rPr>
                <w:rFonts w:ascii="Times New Roman" w:eastAsia="Times New Roman" w:hAnsi="Times New Roman" w:cs="Times New Roman"/>
                <w:sz w:val="24"/>
                <w:szCs w:val="24"/>
              </w:rPr>
              <w:t>співвиконавця</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88B1AEA" w14:textId="77777777" w:rsidR="0063663D"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учасник процедури закупівлі має намір залучити суб’єкта господарювання до надання послуг як співвиконавця або виконання робіт як субпідрядника (далі - суб’єкт господарювання) в обсязі не менше ніж 20 відсотків від вартості договору про закупівлю у випадку закупівлі робіт або послуг, в такому разі, Учасник:</w:t>
            </w:r>
          </w:p>
          <w:p w14:paraId="4B946803" w14:textId="77777777" w:rsidR="0063663D"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повинен надати в довільній формі інформаційну довідку щодо кожного суб’єкта господарювання, в якій зазначає повне найменування,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та місцезнаходження;</w:t>
            </w:r>
          </w:p>
          <w:p w14:paraId="1767263D" w14:textId="77777777" w:rsidR="0063663D"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 час подання тендерної пропозиції заповнює окреме текстове поле електронної форми, де зазначається повне найменування та місцезнаходження суб’єкта господарювання.</w:t>
            </w:r>
          </w:p>
          <w:p w14:paraId="6B32C242" w14:textId="77777777" w:rsidR="0063663D" w:rsidRDefault="0063663D">
            <w:pPr>
              <w:spacing w:after="0" w:line="240" w:lineRule="auto"/>
              <w:ind w:right="80"/>
              <w:jc w:val="both"/>
              <w:rPr>
                <w:rFonts w:ascii="Times New Roman" w:eastAsia="Times New Roman" w:hAnsi="Times New Roman" w:cs="Times New Roman"/>
                <w:sz w:val="24"/>
                <w:szCs w:val="24"/>
              </w:rPr>
            </w:pPr>
          </w:p>
          <w:p w14:paraId="15533E7D" w14:textId="5CE9E742" w:rsidR="0063663D"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у пункті 47 Особливостей, для цього учасник надає щодо кожного такого суб’єкта господарювання інформацію</w:t>
            </w:r>
            <w:r w:rsidR="00804A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 відсутність підстав визначених у пункті 47 Особливостей у довільній формі.</w:t>
            </w:r>
          </w:p>
        </w:tc>
      </w:tr>
      <w:tr w:rsidR="0063663D" w14:paraId="64FF602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CA7D3E"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337CBB"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44D72B"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63663D" w14:paraId="4409C40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191967"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F05EB5"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w:t>
            </w:r>
            <w:r>
              <w:rPr>
                <w:rFonts w:ascii="Times New Roman" w:eastAsia="Times New Roman" w:hAnsi="Times New Roman" w:cs="Times New Roman"/>
                <w:color w:val="000000"/>
                <w:sz w:val="24"/>
                <w:szCs w:val="24"/>
              </w:rPr>
              <w:t xml:space="preserve"> локалізації виробництва</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D6E1ADF"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tc>
      </w:tr>
      <w:tr w:rsidR="0063663D" w14:paraId="6C82DCCB"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B2841B"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63663D" w14:paraId="4E36BFA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5D418B"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BA85D9E"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51C546E" w14:textId="77777777" w:rsidR="0063663D"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12.04.2024 о 9:00</w:t>
            </w:r>
          </w:p>
          <w:p w14:paraId="0ADFFE98" w14:textId="77777777" w:rsidR="0063663D"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63663D" w14:paraId="0513F77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630026"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097829"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53AC3D" w14:textId="77777777" w:rsidR="0063663D"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450376DA" w14:textId="77777777" w:rsidR="0063663D"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30F3691B" w14:textId="77777777" w:rsidR="0063663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63663D" w14:paraId="07DD9334"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A097515"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Оцінка тендерної пропозиції</w:t>
            </w:r>
          </w:p>
        </w:tc>
      </w:tr>
      <w:tr w:rsidR="0063663D" w14:paraId="4D371A7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A64ECEF"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E26BC2"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4CD0A3"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Єдиний критерій оцінки – Ціна – 100%.</w:t>
            </w:r>
          </w:p>
          <w:p w14:paraId="2EECCB11"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663D" w14:paraId="2810ECA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FE8E5C"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1A83E6F"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6FE816" w14:textId="77777777" w:rsidR="0063663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14:paraId="362783F0" w14:textId="77777777" w:rsidR="0063663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Інформаційну довідку у довільній формі, в якій повинен зазначи</w:t>
            </w:r>
            <w:r>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Pr>
                <w:rFonts w:ascii="Times New Roman" w:eastAsia="Times New Roman" w:hAnsi="Times New Roman" w:cs="Times New Roman"/>
                <w:color w:val="000000"/>
                <w:sz w:val="24"/>
                <w:szCs w:val="24"/>
              </w:rPr>
              <w:t>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14:paraId="24FD4FE7" w14:textId="77777777" w:rsidR="0063663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w:t>
            </w:r>
            <w:proofErr w:type="spellStart"/>
            <w:r>
              <w:rPr>
                <w:rFonts w:ascii="Times New Roman" w:eastAsia="Times New Roman" w:hAnsi="Times New Roman" w:cs="Times New Roman"/>
                <w:color w:val="000000"/>
                <w:sz w:val="24"/>
                <w:szCs w:val="24"/>
              </w:rPr>
              <w:t>Прозорро</w:t>
            </w:r>
            <w:proofErr w:type="spellEnd"/>
            <w:r>
              <w:rPr>
                <w:rFonts w:ascii="Times New Roman" w:eastAsia="Times New Roman" w:hAnsi="Times New Roman" w:cs="Times New Roman"/>
                <w:color w:val="000000"/>
                <w:sz w:val="24"/>
                <w:szCs w:val="24"/>
              </w:rPr>
              <w:t>» – prozorro.gov.ua. Факт подання пропозиції учасником – фізичною особою чи фізичною особою-</w:t>
            </w:r>
            <w:r>
              <w:rPr>
                <w:rFonts w:ascii="Times New Roman" w:eastAsia="Times New Roman" w:hAnsi="Times New Roman" w:cs="Times New Roman"/>
                <w:color w:val="000000"/>
                <w:sz w:val="24"/>
                <w:szCs w:val="24"/>
              </w:rPr>
              <w:lastRenderedPageBreak/>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24EF0FDC" w14:textId="77777777" w:rsidR="0063663D"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Білорусь/Ісламської Республіки Іран та проживає на території України на законних підставах,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2403495"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742DDA71"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1E22289A"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посвідку на постійне чи тимчасове проживання на території України</w:t>
            </w:r>
          </w:p>
          <w:p w14:paraId="1F7C569E"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0013A77F"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0D0D5A2E"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54493C2D"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посвідчення біженця чи документ, що підтверджує надання притулку в Україні (стаття 1 Закону України «Про громадянство України»). </w:t>
            </w:r>
          </w:p>
          <w:p w14:paraId="18966AF4"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Республіки Іран (крім </w:t>
            </w:r>
            <w:r>
              <w:rPr>
                <w:rFonts w:ascii="Times New Roman" w:eastAsia="Times New Roman" w:hAnsi="Times New Roman" w:cs="Times New Roman"/>
                <w:sz w:val="24"/>
                <w:szCs w:val="24"/>
              </w:rPr>
              <w:lastRenderedPageBreak/>
              <w:t xml:space="preserve">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Білорусь/Ісламська Республіка Іран, громадянин Російської Федерації / Республіки Білорусь/Ісламської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t>.</w:t>
            </w:r>
          </w:p>
          <w:p w14:paraId="5D91C36B" w14:textId="77777777" w:rsidR="0063663D"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C02C33A" w14:textId="77777777" w:rsidR="0063663D"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1085C5D" w14:textId="77777777" w:rsidR="0063663D"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w:t>
            </w:r>
            <w:r>
              <w:rPr>
                <w:rFonts w:ascii="Times New Roman" w:eastAsia="Times New Roman" w:hAnsi="Times New Roman" w:cs="Times New Roman"/>
                <w:sz w:val="24"/>
                <w:szCs w:val="24"/>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8CC42E3" w14:textId="77777777" w:rsidR="0063663D"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Pr>
                <w:rFonts w:ascii="Times New Roman" w:eastAsia="Times New Roman" w:hAnsi="Times New Roman" w:cs="Times New Roman"/>
                <w:sz w:val="24"/>
                <w:szCs w:val="24"/>
              </w:rPr>
              <w:t>44</w:t>
            </w:r>
            <w:r>
              <w:rPr>
                <w:rFonts w:ascii="Times New Roman" w:eastAsia="Times New Roman" w:hAnsi="Times New Roman" w:cs="Times New Roman"/>
                <w:color w:val="000000"/>
                <w:sz w:val="24"/>
                <w:szCs w:val="24"/>
              </w:rPr>
              <w:t xml:space="preserve"> Особливостей.</w:t>
            </w:r>
          </w:p>
          <w:p w14:paraId="5F2ED5E8" w14:textId="77777777" w:rsidR="0063663D"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2D0FE26" w14:textId="77777777" w:rsidR="0063663D" w:rsidRDefault="00000000">
            <w:pPr>
              <w:numPr>
                <w:ilvl w:val="0"/>
                <w:numId w:val="2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6B2BB9D" w14:textId="77777777" w:rsidR="0063663D" w:rsidRDefault="00000000">
            <w:pPr>
              <w:numPr>
                <w:ilvl w:val="0"/>
                <w:numId w:val="2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D45EA2" w14:textId="77777777" w:rsidR="0063663D" w:rsidRDefault="00000000">
            <w:pPr>
              <w:numPr>
                <w:ilvl w:val="0"/>
                <w:numId w:val="21"/>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отримання учасником процедури закупівлі державної допомоги згідно із законодавством.</w:t>
            </w:r>
          </w:p>
          <w:p w14:paraId="5B3F5C91"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28CF2036"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w:t>
            </w:r>
            <w:r>
              <w:rPr>
                <w:rFonts w:ascii="Times New Roman" w:eastAsia="Times New Roman" w:hAnsi="Times New Roman" w:cs="Times New Roman"/>
                <w:sz w:val="24"/>
                <w:szCs w:val="24"/>
              </w:rPr>
              <w:t>ої</w:t>
            </w:r>
            <w:r>
              <w:rPr>
                <w:rFonts w:ascii="Times New Roman" w:eastAsia="Times New Roman" w:hAnsi="Times New Roman" w:cs="Times New Roman"/>
                <w:color w:val="000000"/>
                <w:sz w:val="24"/>
                <w:szCs w:val="24"/>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D1382EC"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926043"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83E3F2"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w:t>
            </w:r>
            <w:proofErr w:type="spellStart"/>
            <w:r>
              <w:rPr>
                <w:rFonts w:ascii="Times New Roman" w:eastAsia="Times New Roman" w:hAnsi="Times New Roman" w:cs="Times New Roman"/>
                <w:color w:val="000000"/>
                <w:sz w:val="24"/>
                <w:szCs w:val="24"/>
              </w:rPr>
              <w:t>перможцем</w:t>
            </w:r>
            <w:proofErr w:type="spellEnd"/>
            <w:r>
              <w:rPr>
                <w:rFonts w:ascii="Times New Roman" w:eastAsia="Times New Roman" w:hAnsi="Times New Roman" w:cs="Times New Roman"/>
                <w:color w:val="000000"/>
                <w:sz w:val="24"/>
                <w:szCs w:val="24"/>
              </w:rPr>
              <w:t xml:space="preserve"> процедури закупівлі, до органів державної влади, підприємств, установ, організацій відповідно до їх компетенції.</w:t>
            </w:r>
          </w:p>
          <w:p w14:paraId="60CCB38C" w14:textId="77777777" w:rsidR="0063663D" w:rsidRDefault="00000000">
            <w:pPr>
              <w:spacing w:before="150" w:after="15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3663D" w14:paraId="2578F3A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C52D679"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0FAAEB6"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C0D2BEC"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процедури закупівлі:</w:t>
            </w:r>
          </w:p>
          <w:p w14:paraId="105AD23B" w14:textId="77777777" w:rsidR="0063663D" w:rsidRDefault="00000000">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073FEA15" w14:textId="77777777" w:rsidR="0063663D" w:rsidRDefault="00000000">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цих особливостей;</w:t>
            </w:r>
          </w:p>
          <w:p w14:paraId="3A03CBC8" w14:textId="77777777" w:rsidR="0063663D" w:rsidRDefault="00000000">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3EAD96EE" w14:textId="77777777" w:rsidR="0063663D" w:rsidRDefault="00000000">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2483ED66" w14:textId="77777777" w:rsidR="0063663D" w:rsidRDefault="00000000">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w:t>
            </w:r>
            <w:r>
              <w:rPr>
                <w:rFonts w:ascii="Times New Roman" w:eastAsia="Times New Roman" w:hAnsi="Times New Roman" w:cs="Times New Roman"/>
                <w:sz w:val="24"/>
                <w:szCs w:val="24"/>
              </w:rPr>
              <w:t xml:space="preserve">цом </w:t>
            </w:r>
            <w:hyperlink r:id="rId10" w:anchor="n1543">
              <w:r>
                <w:rPr>
                  <w:rFonts w:ascii="Times New Roman" w:eastAsia="Times New Roman" w:hAnsi="Times New Roman" w:cs="Times New Roman"/>
                  <w:sz w:val="24"/>
                  <w:szCs w:val="24"/>
                </w:rPr>
                <w:t>першим</w:t>
              </w:r>
            </w:hyperlink>
            <w:r>
              <w:rPr>
                <w:rFonts w:ascii="Times New Roman" w:eastAsia="Times New Roman" w:hAnsi="Times New Roman" w:cs="Times New Roman"/>
                <w:sz w:val="24"/>
                <w:szCs w:val="24"/>
              </w:rPr>
              <w:t xml:space="preserve"> частини чотирнадцятої статті 29 Закону/абзацом дев’ятим пункту 37 Особливостей</w:t>
            </w:r>
            <w:r>
              <w:rPr>
                <w:rFonts w:ascii="Times New Roman" w:eastAsia="Times New Roman" w:hAnsi="Times New Roman" w:cs="Times New Roman"/>
                <w:color w:val="000000"/>
                <w:sz w:val="24"/>
                <w:szCs w:val="24"/>
              </w:rPr>
              <w:t>;</w:t>
            </w:r>
          </w:p>
          <w:p w14:paraId="743719B9" w14:textId="77777777" w:rsidR="0063663D" w:rsidRDefault="0000000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пункту </w:t>
            </w:r>
            <w:r>
              <w:rPr>
                <w:rFonts w:ascii="Times New Roman" w:eastAsia="Times New Roman" w:hAnsi="Times New Roman" w:cs="Times New Roman"/>
                <w:sz w:val="24"/>
                <w:szCs w:val="24"/>
              </w:rPr>
              <w:t>40</w:t>
            </w:r>
            <w:r>
              <w:rPr>
                <w:rFonts w:ascii="Times New Roman" w:eastAsia="Times New Roman" w:hAnsi="Times New Roman" w:cs="Times New Roman"/>
                <w:color w:val="000000"/>
                <w:sz w:val="24"/>
                <w:szCs w:val="24"/>
              </w:rPr>
              <w:t xml:space="preserve"> особливостей;</w:t>
            </w:r>
          </w:p>
          <w:p w14:paraId="00E2CCD7" w14:textId="77777777" w:rsidR="0063663D" w:rsidRDefault="00000000">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w:t>
            </w:r>
            <w:r>
              <w:rPr>
                <w:rFonts w:ascii="Times New Roman" w:eastAsia="Times New Roman" w:hAnsi="Times New Roman" w:cs="Times New Roman"/>
                <w:sz w:val="24"/>
                <w:szCs w:val="24"/>
              </w:rPr>
              <w:lastRenderedPageBreak/>
              <w:t xml:space="preserve">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t>;</w:t>
            </w:r>
          </w:p>
          <w:p w14:paraId="17D906AF" w14:textId="77777777" w:rsidR="0063663D" w:rsidRDefault="0063663D">
            <w:pPr>
              <w:spacing w:after="0" w:line="240" w:lineRule="auto"/>
              <w:rPr>
                <w:rFonts w:ascii="Times New Roman" w:eastAsia="Times New Roman" w:hAnsi="Times New Roman" w:cs="Times New Roman"/>
                <w:sz w:val="24"/>
                <w:szCs w:val="24"/>
              </w:rPr>
            </w:pPr>
          </w:p>
          <w:p w14:paraId="7BE2325A"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14:paraId="2FB296AD" w14:textId="77777777" w:rsidR="0063663D" w:rsidRDefault="00000000">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14:paraId="714B4356" w14:textId="77777777" w:rsidR="0063663D" w:rsidRDefault="00000000">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строк дії якої закінчився;</w:t>
            </w:r>
          </w:p>
          <w:p w14:paraId="6F6327EF" w14:textId="77777777" w:rsidR="0063663D" w:rsidRDefault="0000000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FFF907" w14:textId="77777777" w:rsidR="0063663D" w:rsidRDefault="00000000">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7C016F76" w14:textId="77777777" w:rsidR="0063663D" w:rsidRDefault="0063663D">
            <w:pPr>
              <w:spacing w:after="0" w:line="240" w:lineRule="auto"/>
              <w:rPr>
                <w:rFonts w:ascii="Times New Roman" w:eastAsia="Times New Roman" w:hAnsi="Times New Roman" w:cs="Times New Roman"/>
                <w:sz w:val="24"/>
                <w:szCs w:val="24"/>
              </w:rPr>
            </w:pPr>
          </w:p>
          <w:p w14:paraId="5E1DED9D"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14:paraId="3D3181AB" w14:textId="77777777" w:rsidR="0063663D"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F484A99" w14:textId="77777777" w:rsidR="0063663D" w:rsidRDefault="00000000">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eastAsia="Times New Roman" w:hAnsi="Times New Roman" w:cs="Times New Roman"/>
                <w:sz w:val="24"/>
                <w:szCs w:val="24"/>
              </w:rPr>
              <w:t>у підпунктах 3, 5, 6 і 12 та в абзаці чотирнадцятому пункту 47 Особливостей</w:t>
            </w:r>
            <w:r>
              <w:rPr>
                <w:rFonts w:ascii="Times New Roman" w:eastAsia="Times New Roman" w:hAnsi="Times New Roman" w:cs="Times New Roman"/>
                <w:color w:val="000000"/>
                <w:sz w:val="24"/>
                <w:szCs w:val="24"/>
              </w:rPr>
              <w:t>;</w:t>
            </w:r>
          </w:p>
          <w:p w14:paraId="0362A262" w14:textId="77777777" w:rsidR="0063663D" w:rsidRDefault="0000000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79FC320F" w14:textId="77777777" w:rsidR="0063663D" w:rsidRDefault="0000000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14:paraId="5B196CF2"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14:paraId="797577B9" w14:textId="77777777" w:rsidR="0063663D" w:rsidRDefault="0063663D">
            <w:pPr>
              <w:spacing w:after="0" w:line="240" w:lineRule="auto"/>
              <w:rPr>
                <w:rFonts w:ascii="Times New Roman" w:eastAsia="Times New Roman" w:hAnsi="Times New Roman" w:cs="Times New Roman"/>
                <w:sz w:val="24"/>
                <w:szCs w:val="24"/>
              </w:rPr>
            </w:pPr>
          </w:p>
          <w:p w14:paraId="2A7EDF0E" w14:textId="77777777" w:rsidR="0063663D"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надав неналежне обґрунтування щодо ціни або вартості відповідних </w:t>
            </w:r>
            <w:r>
              <w:rPr>
                <w:rFonts w:ascii="Times New Roman" w:eastAsia="Times New Roman" w:hAnsi="Times New Roman" w:cs="Times New Roman"/>
                <w:color w:val="000000"/>
                <w:sz w:val="24"/>
                <w:szCs w:val="24"/>
              </w:rPr>
              <w:lastRenderedPageBreak/>
              <w:t>товарів, робіт чи послуг тендерної пропозиції, що є аномально низькою;</w:t>
            </w:r>
          </w:p>
          <w:p w14:paraId="603FF6D3" w14:textId="77777777" w:rsidR="0063663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ECD539"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68BC93A4"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3663D" w14:paraId="2A0DD04B"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C28889E"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63663D" w14:paraId="4287CE8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FC9E3E"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4F97EC"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4842C0D"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14:paraId="1D9AB72E" w14:textId="77777777" w:rsidR="0063663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53722BFD"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14:paraId="5E0E5F4D"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686AF75E"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6AA0CEA7"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 </w:t>
            </w:r>
          </w:p>
          <w:p w14:paraId="3624C006"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14:paraId="3AE77A7A"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D525B0F"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3B7C25E4"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C674B2"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6C779479"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63663D" w14:paraId="15949DB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F0C0D4D"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673C82"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8912AE"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289E73AE" w14:textId="77777777" w:rsidR="0063663D"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1C8A536" w14:textId="77777777" w:rsidR="0063663D"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14:paraId="69770200" w14:textId="77777777" w:rsidR="0063663D"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63663D" w14:paraId="7F6B9A6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173DFB6"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59F540"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227190"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63663D" w14:paraId="0260C17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E0F02E9"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0EF85FB"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укладання договору про закупівлю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FF39FC8"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w:t>
            </w:r>
            <w:r>
              <w:rPr>
                <w:rFonts w:ascii="Times New Roman" w:eastAsia="Times New Roman" w:hAnsi="Times New Roman" w:cs="Times New Roman"/>
                <w:color w:val="000000"/>
                <w:sz w:val="24"/>
                <w:szCs w:val="24"/>
              </w:rPr>
              <w:lastRenderedPageBreak/>
              <w:t xml:space="preserve">урахуванням положень статті 41 Закону, крім частин </w:t>
            </w:r>
            <w:r>
              <w:rPr>
                <w:rFonts w:ascii="Times New Roman" w:eastAsia="Times New Roman" w:hAnsi="Times New Roman" w:cs="Times New Roman"/>
                <w:sz w:val="24"/>
                <w:szCs w:val="24"/>
              </w:rPr>
              <w:t>друг</w:t>
            </w:r>
            <w:r>
              <w:rPr>
                <w:rFonts w:ascii="Times New Roman" w:eastAsia="Times New Roman" w:hAnsi="Times New Roman" w:cs="Times New Roman"/>
                <w:color w:val="000000"/>
                <w:sz w:val="24"/>
                <w:szCs w:val="24"/>
              </w:rPr>
              <w:t>ої-п’ятої, сьомої-дев’ятої статті 41 Закону, та цих особливостей.</w:t>
            </w:r>
          </w:p>
          <w:p w14:paraId="4045C54D"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FAEF3E9" w14:textId="77777777" w:rsidR="0063663D" w:rsidRDefault="00000000">
            <w:pPr>
              <w:numPr>
                <w:ilvl w:val="0"/>
                <w:numId w:val="9"/>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05D022CA" w14:textId="77777777" w:rsidR="0063663D" w:rsidRDefault="00000000">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1CD35D80" w14:textId="77777777" w:rsidR="0063663D" w:rsidRDefault="00000000">
            <w:pPr>
              <w:numPr>
                <w:ilvl w:val="0"/>
                <w:numId w:val="9"/>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3B6C13A" w14:textId="77777777" w:rsidR="0063663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1FC415" w14:textId="77777777" w:rsidR="0063663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r>
              <w:rPr>
                <w:rFonts w:ascii="Times New Roman" w:eastAsia="Times New Roman" w:hAnsi="Times New Roman" w:cs="Times New Roman"/>
                <w:sz w:val="24"/>
                <w:szCs w:val="24"/>
              </w:rPr>
              <w:t>.</w:t>
            </w:r>
          </w:p>
          <w:p w14:paraId="6EB236C3"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надає (поштою або особисто) замовнику документи та інформацію, необхідні для укладення договору про закупівлю, а саме: заповнений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з усіма додатками. Не подання таких документів та інформації, необхідних для укладення договору про закупівлю, буде вказувати про виникнення обставин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укладення договору про закупівлю та підлягає відхиленню на підставі абзацу 2 підпункту 3  пункту 44 Особливостей.</w:t>
            </w:r>
          </w:p>
          <w:p w14:paraId="45EBCE93"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3663D" w14:paraId="5AA8BCC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4E9859B"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B773B0"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1DDF264" w14:textId="77777777" w:rsidR="0063663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Pr>
                <w:rFonts w:ascii="Times New Roman" w:eastAsia="Times New Roman" w:hAnsi="Times New Roman" w:cs="Times New Roman"/>
                <w:color w:val="000000"/>
                <w:sz w:val="24"/>
                <w:szCs w:val="24"/>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Особливостей.</w:t>
            </w:r>
          </w:p>
        </w:tc>
      </w:tr>
      <w:tr w:rsidR="0063663D" w14:paraId="0725D95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5FA91E" w14:textId="77777777" w:rsidR="0063663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E7908E" w14:textId="77777777" w:rsidR="0063663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4A17B51" w14:textId="77777777" w:rsidR="0063663D" w:rsidRDefault="00000000">
            <w:pPr>
              <w:spacing w:after="0" w:line="240" w:lineRule="auto"/>
              <w:jc w:val="both"/>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Замовник вимагає від переможця внесення ним не пізніше дати укладення договору про закупівлю забезпечення виконання такого договору.</w:t>
            </w:r>
          </w:p>
          <w:p w14:paraId="0204A347"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завдаток.</w:t>
            </w:r>
          </w:p>
          <w:p w14:paraId="06F88DE6"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забезпечення має складати 3% вартості договору про закупівлю.</w:t>
            </w:r>
          </w:p>
          <w:p w14:paraId="08685F64"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вноситься учасником-переможцем шляхом перерахування коштів на розрахунковий рахунок Замовника.</w:t>
            </w:r>
          </w:p>
          <w:p w14:paraId="27203797"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14:paraId="1A017640"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житлово-комунального господарства Харківської міської ради </w:t>
            </w:r>
          </w:p>
          <w:p w14:paraId="45223264"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14:paraId="4BF4088F"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14:paraId="6BF934CE" w14:textId="77777777" w:rsidR="0063663D"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p w14:paraId="526BC164"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Призначення платежу: забезпечення виконання договору про закупівлю: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вулиця </w:t>
            </w:r>
            <w:proofErr w:type="spellStart"/>
            <w:r>
              <w:rPr>
                <w:rFonts w:ascii="Times New Roman" w:eastAsia="Times New Roman" w:hAnsi="Times New Roman" w:cs="Times New Roman"/>
                <w:sz w:val="24"/>
                <w:szCs w:val="24"/>
              </w:rPr>
              <w:t>Родникова</w:t>
            </w:r>
            <w:proofErr w:type="spellEnd"/>
            <w:r>
              <w:rPr>
                <w:rFonts w:ascii="Times New Roman" w:eastAsia="Times New Roman" w:hAnsi="Times New Roman" w:cs="Times New Roman"/>
                <w:sz w:val="24"/>
                <w:szCs w:val="24"/>
              </w:rPr>
              <w:t xml:space="preserve">, 9,  місто Харків (код ДК 021:2015-45260000-7 Покрівельні роботи та інші спеціалізовані будівельні роботи)». Підтвердженням надання забезпечення виконання договору про закупівлю є наявність у переможця платіжного доручення на перерахування завдатку, яке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сканованому вигляді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w:t>
            </w:r>
            <w:proofErr w:type="spellEnd"/>
            <w:r>
              <w:rPr>
                <w:rFonts w:ascii="Times New Roman" w:eastAsia="Times New Roman" w:hAnsi="Times New Roman" w:cs="Times New Roman"/>
                <w:sz w:val="24"/>
                <w:szCs w:val="24"/>
              </w:rPr>
              <w:t>.</w:t>
            </w:r>
          </w:p>
          <w:p w14:paraId="0AE6EB3A"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повертає забезпечення виконання договору про закупівлю:</w:t>
            </w:r>
          </w:p>
          <w:p w14:paraId="57DAD800"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після виконання переможцем процедури закупівлі договору про закупівлю;</w:t>
            </w:r>
          </w:p>
          <w:p w14:paraId="019D603B"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D815DF3"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випадках, передбачених статтею 43 Закону;</w:t>
            </w:r>
          </w:p>
          <w:p w14:paraId="36FDF4B1"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47A0FF3B"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неповернення забезпечення виконання договору про закупівлю встановлюються відповідно до чинного законодавства України.</w:t>
            </w:r>
          </w:p>
          <w:p w14:paraId="066C6330" w14:textId="77777777" w:rsidR="0063663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tc>
      </w:tr>
    </w:tbl>
    <w:p w14:paraId="5210B613" w14:textId="77777777" w:rsidR="0063663D" w:rsidRDefault="0063663D">
      <w:pPr>
        <w:tabs>
          <w:tab w:val="left" w:pos="3645"/>
        </w:tabs>
        <w:spacing w:line="240" w:lineRule="auto"/>
        <w:rPr>
          <w:rFonts w:ascii="Times New Roman" w:eastAsia="Times New Roman" w:hAnsi="Times New Roman" w:cs="Times New Roman"/>
          <w:b/>
          <w:sz w:val="24"/>
          <w:szCs w:val="24"/>
        </w:rPr>
      </w:pPr>
    </w:p>
    <w:sectPr w:rsidR="0063663D">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659"/>
    <w:multiLevelType w:val="multilevel"/>
    <w:tmpl w:val="5E1239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984836"/>
    <w:multiLevelType w:val="multilevel"/>
    <w:tmpl w:val="FBEE6C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9B15E6"/>
    <w:multiLevelType w:val="multilevel"/>
    <w:tmpl w:val="7CDA20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256814"/>
    <w:multiLevelType w:val="multilevel"/>
    <w:tmpl w:val="1C2071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C633741"/>
    <w:multiLevelType w:val="multilevel"/>
    <w:tmpl w:val="D3E0D6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1545956"/>
    <w:multiLevelType w:val="multilevel"/>
    <w:tmpl w:val="E1784D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1F55A4D"/>
    <w:multiLevelType w:val="multilevel"/>
    <w:tmpl w:val="0D3893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2030BA9"/>
    <w:multiLevelType w:val="multilevel"/>
    <w:tmpl w:val="248A1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F7F2995"/>
    <w:multiLevelType w:val="multilevel"/>
    <w:tmpl w:val="F086E3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877343B"/>
    <w:multiLevelType w:val="multilevel"/>
    <w:tmpl w:val="DF844C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8BE71AE"/>
    <w:multiLevelType w:val="multilevel"/>
    <w:tmpl w:val="D96488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BB579CA"/>
    <w:multiLevelType w:val="multilevel"/>
    <w:tmpl w:val="FD52BF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0C5349B"/>
    <w:multiLevelType w:val="multilevel"/>
    <w:tmpl w:val="B13E3B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31E3697"/>
    <w:multiLevelType w:val="multilevel"/>
    <w:tmpl w:val="1366AA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33241B4"/>
    <w:multiLevelType w:val="multilevel"/>
    <w:tmpl w:val="8E086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A2C6BAB"/>
    <w:multiLevelType w:val="multilevel"/>
    <w:tmpl w:val="8918DB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3125BFA"/>
    <w:multiLevelType w:val="multilevel"/>
    <w:tmpl w:val="B628B6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66F5F96"/>
    <w:multiLevelType w:val="multilevel"/>
    <w:tmpl w:val="ADCAB2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F2161D2"/>
    <w:multiLevelType w:val="multilevel"/>
    <w:tmpl w:val="27B49C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F5A022F"/>
    <w:multiLevelType w:val="multilevel"/>
    <w:tmpl w:val="FE746B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F734376"/>
    <w:multiLevelType w:val="multilevel"/>
    <w:tmpl w:val="99E208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79589179">
    <w:abstractNumId w:val="9"/>
  </w:num>
  <w:num w:numId="2" w16cid:durableId="1866752048">
    <w:abstractNumId w:val="2"/>
  </w:num>
  <w:num w:numId="3" w16cid:durableId="1448356369">
    <w:abstractNumId w:val="5"/>
  </w:num>
  <w:num w:numId="4" w16cid:durableId="1167331628">
    <w:abstractNumId w:val="16"/>
  </w:num>
  <w:num w:numId="5" w16cid:durableId="1349286898">
    <w:abstractNumId w:val="13"/>
  </w:num>
  <w:num w:numId="6" w16cid:durableId="761726051">
    <w:abstractNumId w:val="18"/>
  </w:num>
  <w:num w:numId="7" w16cid:durableId="1053578417">
    <w:abstractNumId w:val="20"/>
  </w:num>
  <w:num w:numId="8" w16cid:durableId="1549805348">
    <w:abstractNumId w:val="19"/>
  </w:num>
  <w:num w:numId="9" w16cid:durableId="983120355">
    <w:abstractNumId w:val="15"/>
  </w:num>
  <w:num w:numId="10" w16cid:durableId="566959098">
    <w:abstractNumId w:val="12"/>
  </w:num>
  <w:num w:numId="11" w16cid:durableId="1313951701">
    <w:abstractNumId w:val="3"/>
  </w:num>
  <w:num w:numId="12" w16cid:durableId="821000188">
    <w:abstractNumId w:val="7"/>
  </w:num>
  <w:num w:numId="13" w16cid:durableId="1784691610">
    <w:abstractNumId w:val="4"/>
  </w:num>
  <w:num w:numId="14" w16cid:durableId="486242701">
    <w:abstractNumId w:val="0"/>
  </w:num>
  <w:num w:numId="15" w16cid:durableId="928926320">
    <w:abstractNumId w:val="1"/>
  </w:num>
  <w:num w:numId="16" w16cid:durableId="1672177813">
    <w:abstractNumId w:val="10"/>
  </w:num>
  <w:num w:numId="17" w16cid:durableId="1676030873">
    <w:abstractNumId w:val="8"/>
  </w:num>
  <w:num w:numId="18" w16cid:durableId="1417821939">
    <w:abstractNumId w:val="6"/>
  </w:num>
  <w:num w:numId="19" w16cid:durableId="641347638">
    <w:abstractNumId w:val="17"/>
  </w:num>
  <w:num w:numId="20" w16cid:durableId="603684307">
    <w:abstractNumId w:val="14"/>
  </w:num>
  <w:num w:numId="21" w16cid:durableId="15832993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3D"/>
    <w:rsid w:val="0063663D"/>
    <w:rsid w:val="00804AD3"/>
    <w:rsid w:val="00DB62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6431"/>
  <w15:docId w15:val="{55C081C4-E0C3-437E-932C-8CC4ACD3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6">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7">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8">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9">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a">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b">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c">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d">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e">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f">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f0">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f1">
    <w:basedOn w:val="TableNormalb"/>
    <w:pPr>
      <w:spacing w:after="200" w:line="276"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kJm6VQKgRegChLZJJTtnsQSsSA==">CgMxLjAyCWguMzBqMHpsbDIJaC4xZm9iOXRlOAByITFuQXFYVFkxRlJFQVU5VXV5ZmFZSS03OUg3bFhPSl9qXw==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37250</Words>
  <Characters>21234</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2024-01-29T11:08:00Z</dcterms:created>
  <dcterms:modified xsi:type="dcterms:W3CDTF">2024-04-04T08:06:00Z</dcterms:modified>
</cp:coreProperties>
</file>