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88" w:rsidRPr="00F5391F" w:rsidRDefault="00E44588" w:rsidP="00E44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53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Додаток № 2 </w:t>
      </w:r>
    </w:p>
    <w:p w:rsidR="00E44588" w:rsidRPr="00F5391F" w:rsidRDefault="00E44588" w:rsidP="00E44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F539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 тендерної документації</w:t>
      </w:r>
    </w:p>
    <w:p w:rsidR="00E44588" w:rsidRPr="00F5391F" w:rsidRDefault="00E44588" w:rsidP="00E44588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en-US"/>
        </w:rPr>
      </w:pPr>
      <w:r w:rsidRPr="00F5391F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1</w:t>
      </w:r>
      <w:r w:rsidRPr="00F539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proofErr w:type="gramStart"/>
      <w:r w:rsidRPr="00F53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</w:t>
      </w:r>
      <w:proofErr w:type="gramEnd"/>
      <w:r w:rsidRPr="00F53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ідтвердження</w:t>
      </w:r>
      <w:r w:rsidR="00F5391F" w:rsidRPr="00F53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відповідності УЧАСНИКА </w:t>
      </w:r>
      <w:r w:rsidRPr="00F539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(в тому числі для об’єднання</w:t>
      </w:r>
      <w:r w:rsidR="00F5391F" w:rsidRPr="00F5391F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учасників як учасника</w:t>
      </w:r>
      <w:r w:rsidR="00F5391F" w:rsidRPr="00F5391F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процедури)  вимогам, визначени</w:t>
      </w:r>
      <w:r w:rsidRPr="00F5391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en-US"/>
        </w:rPr>
        <w:t>м у пункті 47 Особливостей.</w:t>
      </w:r>
    </w:p>
    <w:p w:rsidR="00E44588" w:rsidRPr="00F5391F" w:rsidRDefault="00E44588" w:rsidP="00E44588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Замовник не вимагає</w:t>
      </w:r>
      <w:r w:rsid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від</w:t>
      </w:r>
      <w:r w:rsid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учасника</w:t>
      </w:r>
      <w:r w:rsid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процедури</w:t>
      </w:r>
      <w:r w:rsid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закупі</w:t>
      </w:r>
      <w:proofErr w:type="gramStart"/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вл</w:t>
      </w:r>
      <w:proofErr w:type="gramEnd"/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і</w:t>
      </w:r>
      <w:r w:rsid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під час подання</w:t>
      </w:r>
      <w:r w:rsid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тендерної</w:t>
      </w:r>
      <w:r w:rsid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пропозиції в електронній</w:t>
      </w:r>
      <w:r w:rsid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системі</w:t>
      </w:r>
      <w:r w:rsid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закупівель будь-яких</w:t>
      </w:r>
      <w:r w:rsid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документів, що</w:t>
      </w:r>
      <w:r w:rsid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підтверджують</w:t>
      </w:r>
      <w:r w:rsid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відсутністьпідстав, визначених у пункті 47 Особливостей (крім абзацу чотирнадцятого</w:t>
      </w:r>
      <w:r w:rsid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цього пункту), крім</w:t>
      </w:r>
      <w:r w:rsid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самостійного</w:t>
      </w:r>
      <w:r w:rsid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декларування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відсутності таких підстав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учасником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процедури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закупівлі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відповіднодо абзацу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шістнадцятого пункту 47 Особливостей.</w:t>
      </w:r>
    </w:p>
    <w:p w:rsidR="00E44588" w:rsidRPr="00F5391F" w:rsidRDefault="00E44588" w:rsidP="00E44588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Учасник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процедури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закупі</w:t>
      </w:r>
      <w:proofErr w:type="gramStart"/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вл</w:t>
      </w:r>
      <w:proofErr w:type="gramEnd"/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і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підтверджує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відсутність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підстав, зазначених в пункті 47 Особливостей  (крім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підпунктів 1 і 7, абзацу чотирнадцятогоцього пункту), шляхом самостійного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декларування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відсутності таких підстав в електронній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системі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закупівель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під час подання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тендерної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пропозиції.</w:t>
      </w:r>
    </w:p>
    <w:p w:rsidR="00E44588" w:rsidRPr="00F5391F" w:rsidRDefault="00E44588" w:rsidP="00E44588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</w:pP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Замовник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самостійно за результатами розгляду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тендерної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пропозиції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учасника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процедури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закупі</w:t>
      </w:r>
      <w:proofErr w:type="gramStart"/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вл</w:t>
      </w:r>
      <w:proofErr w:type="gramEnd"/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і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підтверджує в електронній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системі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закупівель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відсутність в учасника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процедури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закупівлі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підстав, визначених</w:t>
      </w:r>
      <w:r w:rsidR="00E23786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підпунктами 1 і 7 цього пункту.</w:t>
      </w:r>
    </w:p>
    <w:p w:rsidR="00E44588" w:rsidRPr="00F5391F" w:rsidRDefault="00E44588" w:rsidP="00E445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Учасник  повинен</w:t>
      </w:r>
      <w:r w:rsidR="00E237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надати</w:t>
      </w:r>
      <w:r w:rsidR="00E237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довідку у довільній</w:t>
      </w:r>
      <w:r w:rsidR="00E23786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формі</w:t>
      </w:r>
      <w:r w:rsidR="00E23786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щодо</w:t>
      </w:r>
      <w:r w:rsidR="00E237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відсутності</w:t>
      </w:r>
      <w:r w:rsidR="00E237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proofErr w:type="gramStart"/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ідстави для  відмови</w:t>
      </w:r>
      <w:r w:rsidR="00E23786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учаснику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процедури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закупівлі в участі у відкритих торгах, встановленої в абзаці 14 пункту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 xml:space="preserve">47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Особливостей. Учасник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процедури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закупі</w:t>
      </w:r>
      <w:proofErr w:type="gramStart"/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вл</w:t>
      </w:r>
      <w:proofErr w:type="gramEnd"/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і, що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перебуває в обставинах, зазначених у цьому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абзаці, може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надати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підтвердження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вжиття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заходів для доведення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своєї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надійності, незважаючи на наявність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відповідної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підстави для відмови в участі у відкритих торгах. Для цього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учасник (суб’єкт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господарювання) повинен довести, що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він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сплатив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або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зобов’язався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сплатити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відповідні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зобов’язання та відшкодування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завданих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збитків. Якщо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замовник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вважає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таке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proofErr w:type="gramStart"/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proofErr w:type="gramEnd"/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ідтвердження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достатнім, учаснику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процедури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закупівлі не може бути відмовлено в участі в процедурі</w:t>
      </w:r>
      <w:r w:rsidR="003F46D7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закупівлі.</w:t>
      </w:r>
    </w:p>
    <w:p w:rsidR="00E44588" w:rsidRPr="00F5391F" w:rsidRDefault="00E44588" w:rsidP="00E445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Якщо на момент подання</w:t>
      </w:r>
      <w:r w:rsidR="003F46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тендерної</w:t>
      </w:r>
      <w:r w:rsidR="003F46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пропозиції</w:t>
      </w:r>
      <w:r w:rsidR="003F46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учасником в електронній</w:t>
      </w:r>
      <w:r w:rsidR="003F46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системі</w:t>
      </w:r>
      <w:r w:rsidR="003F46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закупівель</w:t>
      </w:r>
      <w:r w:rsidR="003F46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відсутня</w:t>
      </w:r>
      <w:r w:rsidR="003F46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технічна</w:t>
      </w:r>
      <w:r w:rsidR="003F46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можливість</w:t>
      </w:r>
      <w:r w:rsidR="003F46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proofErr w:type="gramStart"/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п</w:t>
      </w:r>
      <w:proofErr w:type="gramEnd"/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ідтвердження</w:t>
      </w:r>
      <w:r w:rsidR="007A75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учасником</w:t>
      </w:r>
      <w:r w:rsidR="007A75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відсутності</w:t>
      </w:r>
      <w:r w:rsidR="007A75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окремих</w:t>
      </w:r>
      <w:r w:rsidR="007A75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підстав, зазначених у пункті 47 Особливостей, шляхом самостійного</w:t>
      </w:r>
      <w:r w:rsidR="007A75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декларування в електронній</w:t>
      </w:r>
      <w:r w:rsidR="007A75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системі, то факт подання</w:t>
      </w:r>
      <w:r w:rsidR="007A75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тендерної</w:t>
      </w:r>
      <w:r w:rsidR="007A75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пропозиції</w:t>
      </w:r>
      <w:r w:rsidR="007A75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вважається</w:t>
      </w:r>
      <w:r w:rsidR="007A75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самостійним</w:t>
      </w:r>
      <w:r w:rsidR="007A75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декларуванням</w:t>
      </w:r>
      <w:r w:rsidR="007A75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відсутності таких підстав для відмовийому в участі в торгах за вимогами пункту 47 Особливостей.</w:t>
      </w:r>
    </w:p>
    <w:p w:rsidR="00E44588" w:rsidRPr="00F5391F" w:rsidRDefault="00E44588" w:rsidP="00E44588">
      <w:pPr>
        <w:spacing w:after="80" w:line="256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  <w:lang w:val="uk-UA" w:eastAsia="en-US"/>
        </w:rPr>
      </w:pPr>
    </w:p>
    <w:p w:rsidR="00E44588" w:rsidRPr="00F5391F" w:rsidRDefault="00E44588" w:rsidP="00E445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en-US"/>
        </w:rPr>
      </w:pPr>
      <w:r w:rsidRPr="00F5391F">
        <w:rPr>
          <w:rFonts w:ascii="Times New Roman" w:eastAsia="Times New Roman" w:hAnsi="Times New Roman" w:cs="Times New Roman"/>
          <w:b/>
          <w:sz w:val="24"/>
          <w:szCs w:val="24"/>
          <w:lang w:val="uk-UA" w:eastAsia="en-US"/>
        </w:rPr>
        <w:t>2</w:t>
      </w:r>
      <w:r w:rsidRPr="00F539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. </w:t>
      </w:r>
      <w:r w:rsidRPr="00F53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Перелік</w:t>
      </w:r>
      <w:r w:rsidR="007A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документів та інформації  для</w:t>
      </w:r>
      <w:r w:rsidR="007A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</w:t>
      </w:r>
      <w:proofErr w:type="gramStart"/>
      <w:r w:rsidRPr="00F53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</w:t>
      </w:r>
      <w:proofErr w:type="gramEnd"/>
      <w:r w:rsidRPr="00F53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ідтвердження</w:t>
      </w:r>
      <w:r w:rsidR="007A75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відповідності ПЕРЕМОЖЦЯ вимогам, </w:t>
      </w:r>
      <w:r w:rsidRPr="00F539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визначеним у пун</w:t>
      </w:r>
      <w:r w:rsidRPr="00F5391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en-US"/>
        </w:rPr>
        <w:t>кті</w:t>
      </w:r>
      <w:r w:rsidR="007A75B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47</w:t>
      </w:r>
      <w:r w:rsidR="007A75B3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en-US"/>
        </w:rPr>
        <w:t>Особливостей:</w:t>
      </w:r>
    </w:p>
    <w:p w:rsidR="00E44588" w:rsidRPr="00F5391F" w:rsidRDefault="00E44588" w:rsidP="00E445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</w:pP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Переможець</w:t>
      </w:r>
      <w:r w:rsidR="007A75B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процедури</w:t>
      </w:r>
      <w:r w:rsidR="007A75B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закупі</w:t>
      </w:r>
      <w:proofErr w:type="gramStart"/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вл</w:t>
      </w:r>
      <w:proofErr w:type="gramEnd"/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і у строк, що</w:t>
      </w:r>
      <w:r w:rsidR="007A75B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en-US"/>
        </w:rPr>
        <w:t>не перевищує</w:t>
      </w:r>
      <w:r w:rsidR="007A75B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en-US"/>
        </w:rPr>
        <w:t>чотири</w:t>
      </w:r>
      <w:r w:rsidR="007A75B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eastAsia="en-US"/>
        </w:rPr>
        <w:t>дні</w:t>
      </w:r>
      <w:r w:rsidR="007A75B3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з дати</w:t>
      </w:r>
      <w:r w:rsidR="007A75B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оприлюднення в електронній</w:t>
      </w:r>
      <w:r w:rsidR="007A75B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системі</w:t>
      </w:r>
      <w:r w:rsidR="007A75B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закупівель</w:t>
      </w:r>
      <w:r w:rsidR="007A75B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повідомлення про намір</w:t>
      </w:r>
      <w:r w:rsidR="007A75B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укласти</w:t>
      </w:r>
      <w:r w:rsidR="007A75B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договір про закупівлю, повинен надати</w:t>
      </w:r>
      <w:r w:rsidR="0083658A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замовнику шляхом оприлюднення в електронній</w:t>
      </w:r>
      <w:r w:rsidR="007A75B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системі</w:t>
      </w:r>
      <w:r w:rsidR="007A75B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закупівель</w:t>
      </w:r>
      <w:r w:rsidR="007A75B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документи, що</w:t>
      </w:r>
      <w:r w:rsidR="007A75B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підтверджують</w:t>
      </w:r>
      <w:r w:rsidR="007A75B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відсутність</w:t>
      </w:r>
      <w:r w:rsidR="007A75B3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>підстав, зазначених у підпунктах 3, 5, 6 і 12 та в абзаці</w:t>
      </w:r>
      <w:r w:rsidR="007A7E1B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highlight w:val="white"/>
          <w:lang w:eastAsia="en-US"/>
        </w:rPr>
        <w:t xml:space="preserve">чотирнадцятому пункту 47 Особливостей. </w:t>
      </w:r>
    </w:p>
    <w:p w:rsidR="00E44588" w:rsidRPr="00F5391F" w:rsidRDefault="00E44588" w:rsidP="00E445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Першим днем строку, передбаченого</w:t>
      </w:r>
      <w:r w:rsidR="0083658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цією тендерною документацією та/ або Законом та/ або</w:t>
      </w:r>
      <w:r w:rsidR="007A7E1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Особливостями, перебіг</w:t>
      </w:r>
      <w:r w:rsidR="007A7E1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якого</w:t>
      </w:r>
      <w:r w:rsidR="007A7E1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визначається з дати</w:t>
      </w:r>
      <w:r w:rsidR="007A7E1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певної</w:t>
      </w:r>
      <w:r w:rsidR="007A7E1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події, вважатиметься</w:t>
      </w:r>
      <w:r w:rsidR="007A7E1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наступний за днем відповідної</w:t>
      </w:r>
      <w:r w:rsidR="007A7E1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події</w:t>
      </w:r>
      <w:r w:rsidR="007A7E1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календарний</w:t>
      </w:r>
      <w:r w:rsidR="007A7E1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або</w:t>
      </w:r>
      <w:r w:rsidR="007A7E1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робочий день, залежно</w:t>
      </w:r>
      <w:r w:rsidR="0083658A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 того, у яких днях (календарних</w:t>
      </w:r>
      <w:r w:rsidR="007A7E1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чи</w:t>
      </w:r>
      <w:r w:rsidR="007A7E1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робочих) обраховується</w:t>
      </w:r>
      <w:r w:rsidR="007A7E1B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sz w:val="24"/>
          <w:szCs w:val="24"/>
          <w:lang w:eastAsia="en-US"/>
        </w:rPr>
        <w:t>відповідний строк.</w:t>
      </w:r>
      <w:proofErr w:type="gramEnd"/>
    </w:p>
    <w:p w:rsidR="00E44588" w:rsidRPr="00F5391F" w:rsidRDefault="00E44588" w:rsidP="00E44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en-US"/>
        </w:rPr>
      </w:pPr>
    </w:p>
    <w:p w:rsidR="00E44588" w:rsidRPr="00F5391F" w:rsidRDefault="00E44588" w:rsidP="00E445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</w:pPr>
      <w:r w:rsidRPr="00F5391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en-US"/>
        </w:rPr>
        <w:t> </w:t>
      </w:r>
      <w:r w:rsidRPr="00F5391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  <w:t>3.1. Документи, які</w:t>
      </w:r>
      <w:r w:rsidR="007A7E1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uk-UA" w:eastAsia="en-US"/>
        </w:rPr>
        <w:t xml:space="preserve"> </w:t>
      </w:r>
      <w:r w:rsidRPr="00F5391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  <w:t xml:space="preserve">надаються  ПЕРЕМОЖЦЕМ (юридичною </w:t>
      </w:r>
      <w:proofErr w:type="gramStart"/>
      <w:r w:rsidRPr="00F5391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  <w:t>особою</w:t>
      </w:r>
      <w:proofErr w:type="gramEnd"/>
      <w:r w:rsidRPr="00F5391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en-US"/>
        </w:rPr>
        <w:t>):</w:t>
      </w:r>
    </w:p>
    <w:tbl>
      <w:tblPr>
        <w:tblW w:w="11055" w:type="dxa"/>
        <w:tblInd w:w="-893" w:type="dxa"/>
        <w:tblLayout w:type="fixed"/>
        <w:tblLook w:val="0400"/>
      </w:tblPr>
      <w:tblGrid>
        <w:gridCol w:w="566"/>
        <w:gridCol w:w="5340"/>
        <w:gridCol w:w="5149"/>
      </w:tblGrid>
      <w:tr w:rsidR="00E44588" w:rsidRPr="00F5391F" w:rsidTr="00E44405">
        <w:trPr>
          <w:trHeight w:val="10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№</w:t>
            </w:r>
          </w:p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з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/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п</w:t>
            </w:r>
            <w:proofErr w:type="gramEnd"/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Вимоги</w:t>
            </w:r>
            <w:r w:rsidR="007A7E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згідно п.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47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Особливостей</w:t>
            </w:r>
          </w:p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Переможець</w:t>
            </w:r>
            <w:r w:rsidR="0076514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торгів на виконання</w:t>
            </w:r>
            <w:r w:rsidR="007A7E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вимоги</w:t>
            </w:r>
            <w:r w:rsidR="007A7E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згідно п.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47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Особливостей (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п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ідтвердження</w:t>
            </w:r>
            <w:r w:rsidR="007A7E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відсутності</w:t>
            </w:r>
            <w:r w:rsidR="007A7E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підстав) повинен надати</w:t>
            </w:r>
            <w:r w:rsidR="007A7E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таку</w:t>
            </w:r>
            <w:r w:rsidR="007A7E1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інформацію:</w:t>
            </w:r>
          </w:p>
        </w:tc>
      </w:tr>
      <w:tr w:rsidR="00E44588" w:rsidRPr="00F5391F" w:rsidTr="00E44405">
        <w:trPr>
          <w:trHeight w:val="17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lastRenderedPageBreak/>
              <w:t>1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Керівника</w:t>
            </w:r>
            <w:r w:rsidR="007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учасника</w:t>
            </w:r>
            <w:r w:rsidR="007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процедури</w:t>
            </w:r>
            <w:r w:rsidR="007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і, фізичну особу, яка є учасником</w:t>
            </w:r>
            <w:r w:rsidR="007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процедури</w:t>
            </w:r>
            <w:r w:rsidR="007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закупівлі, було</w:t>
            </w:r>
            <w:r w:rsidR="007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притягнуто</w:t>
            </w:r>
            <w:r w:rsidR="007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згідно</w:t>
            </w:r>
            <w:r w:rsidR="007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із</w:t>
            </w:r>
            <w:r w:rsidR="007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законом  до</w:t>
            </w:r>
            <w:r w:rsidR="00E66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відповідальності за вчинення</w:t>
            </w:r>
            <w:r w:rsidR="007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корупційного</w:t>
            </w:r>
            <w:r w:rsidR="007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правопорушення</w:t>
            </w:r>
            <w:r w:rsidR="007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або</w:t>
            </w:r>
            <w:r w:rsidR="007A7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правопорушення, пов’язаного з корупцією.</w:t>
            </w:r>
          </w:p>
          <w:p w:rsidR="00E44588" w:rsidRPr="00F5391F" w:rsidRDefault="00E44588" w:rsidP="00E4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(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п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ідпункт 3 пункт 47 Особливостей)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588" w:rsidRPr="00F5391F" w:rsidRDefault="00E44588" w:rsidP="00E4440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*Інформаційна</w:t>
            </w:r>
            <w:r w:rsidR="007A7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довідка з Єдиного державного реєстру</w:t>
            </w:r>
            <w:r w:rsidR="00CE2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осіб, які вчинили корупційні</w:t>
            </w:r>
            <w:r w:rsidR="00C5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або</w:t>
            </w:r>
            <w:r w:rsidR="00C5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пов’язан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і з корупцією</w:t>
            </w:r>
            <w:r w:rsidR="00C5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правопорушення, згідно з якою не буде знайдено</w:t>
            </w:r>
            <w:r w:rsidR="00C5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інформації про корупційні</w:t>
            </w:r>
            <w:r w:rsidR="00C5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або</w:t>
            </w:r>
            <w:r w:rsidR="00C5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пов'язані з корупцією</w:t>
            </w:r>
            <w:r w:rsidR="00C5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правопорушення</w:t>
            </w:r>
            <w:r w:rsidR="00C5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керівника</w:t>
            </w:r>
            <w:r w:rsidR="00C5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учасника</w:t>
            </w:r>
            <w:r w:rsidR="00C5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процедури</w:t>
            </w:r>
            <w:r w:rsidR="00C57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закупівлі.</w:t>
            </w:r>
          </w:p>
          <w:p w:rsidR="00E44588" w:rsidRPr="00F5391F" w:rsidRDefault="00E44588" w:rsidP="00E44405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*Згідно з пунктом 47 Особливостей 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Переможець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процедури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 у строк, що не перевищує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чотири</w:t>
            </w:r>
            <w:r w:rsidR="00CE271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дні з дати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оприлюднення в електронній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системі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закупівель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повідомлення про намір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укласти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договір про закупівлю, повинен надати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замовнику шляхом оприлюднення в електронній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системі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закупівель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документи, що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підтверджують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відсутність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підстав, зазначених у </w:t>
            </w:r>
            <w:hyperlink r:id="rId5" w:anchor="n618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підпунктах 3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hyperlink r:id="rId6" w:anchor="n620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5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hyperlink r:id="rId7" w:anchor="n621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і </w:t>
            </w:r>
            <w:hyperlink r:id="rId8" w:anchor="n627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12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та в </w:t>
            </w:r>
            <w:hyperlink r:id="rId9" w:anchor="n628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абзаці</w:t>
              </w:r>
              <w:r w:rsidR="00C57343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uk-UA" w:eastAsia="en-US"/>
                </w:rPr>
                <w:t xml:space="preserve"> </w:t>
              </w:r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чотирнадцятому</w:t>
              </w:r>
            </w:hyperlink>
            <w:r w:rsidR="00C573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цього пункту.</w:t>
            </w:r>
          </w:p>
          <w:p w:rsidR="00E44588" w:rsidRPr="00F5391F" w:rsidRDefault="00E44588" w:rsidP="00E44405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Згідно з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ідпунктом 3 пункту 44 Особливостей 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Замовник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відхиляє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тендерну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пропозицію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із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зазначенням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аргументації в електронній</w:t>
            </w:r>
            <w:r w:rsidR="00C573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системі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закупівель у разі, коли переможець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процедури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закупівлі не надав у спосіб, зазначений в тендерній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документації, документи, що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підтверджують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відсутність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підстав, визначених у </w:t>
            </w:r>
            <w:hyperlink r:id="rId10" w:anchor="n618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підпунктах 3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hyperlink r:id="rId11" w:anchor="n620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5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hyperlink r:id="rId12" w:anchor="n621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і </w:t>
            </w:r>
            <w:hyperlink r:id="rId13" w:anchor="n627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12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та в </w:t>
            </w:r>
            <w:hyperlink r:id="rId14" w:anchor="n628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абзаці</w:t>
              </w:r>
              <w:r w:rsidR="00C5504D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uk-UA" w:eastAsia="en-US"/>
                </w:rPr>
                <w:t xml:space="preserve"> </w:t>
              </w:r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чотирнадцятому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пункту 47 Особливостей.</w:t>
            </w:r>
          </w:p>
          <w:p w:rsidR="00E44588" w:rsidRPr="00F5391F" w:rsidRDefault="00E44588" w:rsidP="00E44405">
            <w:pPr>
              <w:spacing w:after="0" w:line="252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04.09.2023 р. Національне агентство з питань</w:t>
            </w:r>
            <w:r w:rsidR="00A74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запобігання</w:t>
            </w:r>
            <w:r w:rsidR="00A74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корупції (НАЗК) відкрило доступ до Реєстру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осіб, які вчинили корупційні та пов’язані з корупцією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правопорушення, з урахуванням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безпекових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аспектів. Проте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згідно з постановою КМУ від 12.03.2022 р. № 263, яка застосовується до припинення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чи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скасування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воєнного стану, інформаційні, інформаційно-комунікаційні та електронні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комунікаційні</w:t>
            </w:r>
            <w:r w:rsidR="00C550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системи, публічні</w:t>
            </w:r>
            <w:r w:rsidR="00A74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електронні</w:t>
            </w:r>
            <w:r w:rsidR="00A74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реєстри</w:t>
            </w:r>
            <w:r w:rsidR="00A74D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можуть як зупиняти, обмежувати</w:t>
            </w:r>
            <w:r w:rsidR="00EA6C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свою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роботу, так і відкриватись, поновлюватись у період</w:t>
            </w:r>
            <w:r w:rsidR="00EA6C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воєнного стану.</w:t>
            </w:r>
          </w:p>
          <w:p w:rsidR="00E44588" w:rsidRPr="00F5391F" w:rsidRDefault="00E44588" w:rsidP="00E44405">
            <w:pPr>
              <w:spacing w:after="0" w:line="252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Таким чином, Інформаційна</w:t>
            </w:r>
            <w:r w:rsidR="00483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довідка з Єдиного державного реєстру</w:t>
            </w:r>
            <w:r w:rsidR="00483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осіб, які вчинили корупційні</w:t>
            </w:r>
            <w:r w:rsidR="00483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або</w:t>
            </w:r>
            <w:r w:rsidR="00483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пов’язані з корупцією</w:t>
            </w:r>
            <w:r w:rsidR="00483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правопорушення, згідно з якою не буде знайдено</w:t>
            </w:r>
            <w:r w:rsidR="00483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інформації про корупційні</w:t>
            </w:r>
            <w:r w:rsidR="00483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або</w:t>
            </w:r>
            <w:r w:rsidR="00483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пов'язані з корупцією</w:t>
            </w:r>
            <w:r w:rsidR="00483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правопорушення</w:t>
            </w:r>
            <w:r w:rsidR="00483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керівника</w:t>
            </w:r>
            <w:r w:rsidR="00483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учасника</w:t>
            </w:r>
            <w:r w:rsidR="00483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процедури</w:t>
            </w:r>
            <w:r w:rsidR="00483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і, надається</w:t>
            </w:r>
            <w:r w:rsidR="004836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переможцем.</w:t>
            </w:r>
          </w:p>
          <w:p w:rsidR="00E44588" w:rsidRPr="00F5391F" w:rsidRDefault="00E44588" w:rsidP="00E4440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</w:p>
        </w:tc>
      </w:tr>
      <w:tr w:rsidR="00E44588" w:rsidRPr="00F5391F" w:rsidTr="00E44405">
        <w:trPr>
          <w:trHeight w:val="146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lastRenderedPageBreak/>
              <w:t>2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Керівник</w:t>
            </w:r>
            <w:r w:rsidR="00483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учасника</w:t>
            </w:r>
            <w:r w:rsidR="00483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процедури</w:t>
            </w:r>
            <w:r w:rsidR="00483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і</w:t>
            </w:r>
            <w:r w:rsidR="00483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був</w:t>
            </w:r>
            <w:r w:rsidR="00483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засуджений за кримінальне</w:t>
            </w:r>
            <w:r w:rsidR="00483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правопорушення, вчинене з корисливих</w:t>
            </w:r>
            <w:r w:rsidR="00483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мотивів (зокрема, пов’язане з хабарництвом, шахрайством та відмиванням</w:t>
            </w:r>
            <w:r w:rsidR="00B51D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коштів), судимість з якого не знято</w:t>
            </w:r>
            <w:r w:rsidR="00483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або не погашено в установленому законом порядку.</w:t>
            </w:r>
          </w:p>
          <w:p w:rsidR="00E44588" w:rsidRPr="00F5391F" w:rsidRDefault="00E44588" w:rsidP="00E4440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(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п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ідпункт 6 пункт 47 Особливостей)</w:t>
            </w:r>
          </w:p>
        </w:tc>
        <w:tc>
          <w:tcPr>
            <w:tcW w:w="515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588" w:rsidRPr="00F5391F" w:rsidRDefault="00E44588" w:rsidP="00E4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Повний</w:t>
            </w:r>
            <w:r w:rsidR="0048366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витяг з інформаційно-аналітичної</w:t>
            </w:r>
            <w:r w:rsidR="0048366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системи «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Обл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ік</w:t>
            </w:r>
            <w:r w:rsidR="0048366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відомостей про притягнення особи до кримінальної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відповідальності та наявності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судимості» сформований у паперовій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або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електронній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формі, що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містить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інформацію про відсутність</w:t>
            </w:r>
            <w:r w:rsidR="005D5C42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судимості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або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обмежень, передбачених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кримінальним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процесуальним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законодавством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України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щодо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керівника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учасника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процедури</w:t>
            </w:r>
            <w:r w:rsidR="00305C4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закупівлі. </w:t>
            </w:r>
          </w:p>
          <w:p w:rsidR="00E44588" w:rsidRPr="00F5391F" w:rsidRDefault="00E44588" w:rsidP="00E4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</w:p>
          <w:p w:rsidR="00E44588" w:rsidRPr="00F5391F" w:rsidRDefault="00E44588" w:rsidP="00E4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Документ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повинен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 бути виданий/ сформований/ отриманий в поточному році. </w:t>
            </w:r>
          </w:p>
        </w:tc>
      </w:tr>
      <w:tr w:rsidR="00E44588" w:rsidRPr="00F5391F" w:rsidTr="00E44405">
        <w:trPr>
          <w:trHeight w:val="15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3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Керівника</w:t>
            </w:r>
            <w:r w:rsidR="0030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учасника</w:t>
            </w:r>
            <w:r w:rsidR="0030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процедури</w:t>
            </w:r>
            <w:r w:rsidR="0030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і, фізичну особу, яка є учасником</w:t>
            </w:r>
            <w:r w:rsidR="0030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процедури</w:t>
            </w:r>
            <w:r w:rsidR="0030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закупівлі, було</w:t>
            </w:r>
            <w:r w:rsidR="0030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притягнуто</w:t>
            </w:r>
            <w:r w:rsidR="0030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згідно</w:t>
            </w:r>
            <w:r w:rsidR="0030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із законом до відповідальності за вчинення</w:t>
            </w:r>
            <w:r w:rsidR="0030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правопорушення, пов’язаного з використанням</w:t>
            </w:r>
            <w:r w:rsidR="0030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дитячої</w:t>
            </w:r>
            <w:r w:rsidR="0030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праці</w:t>
            </w:r>
            <w:r w:rsidR="0030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чи будь-якими формами торгівлі людьми.</w:t>
            </w:r>
          </w:p>
          <w:p w:rsidR="00E44588" w:rsidRPr="00F5391F" w:rsidRDefault="00E44588" w:rsidP="00E4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(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п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ідпункт 12 пункт 47 Особливостей)</w:t>
            </w:r>
          </w:p>
        </w:tc>
        <w:tc>
          <w:tcPr>
            <w:tcW w:w="515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44588" w:rsidRPr="00F5391F" w:rsidRDefault="00E44588" w:rsidP="00E4440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</w:p>
        </w:tc>
      </w:tr>
      <w:tr w:rsidR="00E44588" w:rsidRPr="00F5391F" w:rsidTr="00E44405">
        <w:trPr>
          <w:trHeight w:val="361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4</w:t>
            </w:r>
          </w:p>
        </w:tc>
        <w:tc>
          <w:tcPr>
            <w:tcW w:w="5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Учасник</w:t>
            </w:r>
            <w:r w:rsidR="00CF70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процедури</w:t>
            </w:r>
            <w:r w:rsidR="00CF70B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 не виконав</w:t>
            </w:r>
            <w:r w:rsidR="00613B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свої</w:t>
            </w:r>
            <w:r w:rsidR="00613B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зобов’язання за раніше</w:t>
            </w:r>
            <w:r w:rsidR="00613B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укладеним договором про закупівлю з цим самим замовником, що</w:t>
            </w:r>
            <w:r w:rsidR="00613BA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призвело до його</w:t>
            </w:r>
            <w:r w:rsidR="003B02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дострокового</w:t>
            </w:r>
            <w:r w:rsidR="003B02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розірвання, і було</w:t>
            </w:r>
            <w:r w:rsidR="003B02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застосовано</w:t>
            </w:r>
            <w:r w:rsidR="003B02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санкції у вигляді</w:t>
            </w:r>
            <w:r w:rsidR="003B02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штрафів та/або</w:t>
            </w:r>
            <w:r w:rsidR="003B02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відшкодуванн</w:t>
            </w:r>
            <w:r w:rsidR="003B02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язбитків — протягом</w:t>
            </w:r>
            <w:r w:rsidR="003B02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трьох</w:t>
            </w:r>
            <w:r w:rsidR="003B02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років з дати</w:t>
            </w:r>
            <w:r w:rsidR="003B02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дострокового</w:t>
            </w:r>
            <w:r w:rsidR="003B02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розірвання такого договору. Учасник</w:t>
            </w:r>
            <w:r w:rsidR="003B02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процедури</w:t>
            </w:r>
            <w:r w:rsidR="003B02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і, що</w:t>
            </w:r>
            <w:r w:rsidR="003B02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перебуває в обставинах, зазначених у цьому</w:t>
            </w:r>
            <w:r w:rsidR="00BC2B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абзаці, може</w:t>
            </w:r>
            <w:r w:rsidR="00BC2B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надати</w:t>
            </w:r>
            <w:r w:rsidR="00BC2B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підтвердження</w:t>
            </w:r>
            <w:r w:rsidR="00BC2B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вжиття</w:t>
            </w:r>
            <w:r w:rsidR="00BC2B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заходів для доведення</w:t>
            </w:r>
            <w:r w:rsidR="00BC2B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своєї</w:t>
            </w:r>
            <w:r w:rsidR="00BC2B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надійності, незважаючи на наявність</w:t>
            </w:r>
            <w:r w:rsidR="00BC2B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відповідної</w:t>
            </w:r>
            <w:r w:rsidR="00BC2BA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підстави для відмови в участі у відкритих торгах.  </w:t>
            </w:r>
          </w:p>
          <w:p w:rsidR="00E44588" w:rsidRPr="00F5391F" w:rsidRDefault="00E44588" w:rsidP="00E4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(абзац 14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 xml:space="preserve">пункт 47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Особливостей)</w:t>
            </w:r>
          </w:p>
        </w:tc>
        <w:tc>
          <w:tcPr>
            <w:tcW w:w="5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Довідка в довільній</w:t>
            </w:r>
            <w:r w:rsidR="00F91C1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формі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, яка містить</w:t>
            </w:r>
            <w:r w:rsidR="00F91C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інформацію про те, що</w:t>
            </w:r>
            <w:r w:rsidR="00F91C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між</w:t>
            </w:r>
            <w:r w:rsidR="00F91C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переможцем та замовником</w:t>
            </w:r>
            <w:r w:rsidR="00F91C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раніше не було</w:t>
            </w:r>
            <w:r w:rsidR="00F91C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укладено</w:t>
            </w:r>
            <w:r w:rsidR="00F91C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договорів, або про те, що</w:t>
            </w:r>
            <w:r w:rsidR="00F91C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переможець</w:t>
            </w:r>
            <w:r w:rsidR="00F91C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процедури</w:t>
            </w:r>
            <w:r w:rsidR="00F91C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</w:t>
            </w:r>
            <w:r w:rsidR="00F91C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виконав</w:t>
            </w:r>
            <w:r w:rsidR="00F91C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свої</w:t>
            </w:r>
            <w:r w:rsidR="00F91C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зобов’язання за раніше</w:t>
            </w:r>
            <w:r w:rsidR="00F91C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укладеним</w:t>
            </w:r>
            <w:r w:rsidR="00123B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із</w:t>
            </w:r>
            <w:r w:rsidR="00123B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замовником договором про закупівлю, відповідно, підстав, що</w:t>
            </w:r>
            <w:r w:rsidR="00123B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призвели б до його</w:t>
            </w:r>
            <w:r w:rsidR="00123B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дострокового</w:t>
            </w:r>
            <w:r w:rsidR="00123B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розірвання і до застосування</w:t>
            </w:r>
            <w:r w:rsidR="00123B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санкції у вигляді</w:t>
            </w:r>
            <w:r w:rsidR="00123B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штрафів та/або</w:t>
            </w:r>
            <w:r w:rsidR="00123B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відшкодування</w:t>
            </w:r>
            <w:r w:rsidR="00123B2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збитків, не було, або</w:t>
            </w:r>
            <w:r w:rsidR="009D37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довідка з інформацією про те, що</w:t>
            </w:r>
            <w:r w:rsidR="009D37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він</w:t>
            </w:r>
            <w:r w:rsidR="009D37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="009D37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наддав</w:t>
            </w:r>
            <w:r w:rsidR="009D37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ідтвердження</w:t>
            </w:r>
            <w:r w:rsidR="009D37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вжиття</w:t>
            </w:r>
            <w:r w:rsidR="009D37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заходів для доведення</w:t>
            </w:r>
            <w:r w:rsidR="009D37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своєї</w:t>
            </w:r>
            <w:r w:rsidR="009D37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надійності, незважаючи на наявність</w:t>
            </w:r>
            <w:r w:rsidR="009D37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відповідної</w:t>
            </w:r>
            <w:r w:rsidR="009D37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підстави для відмови в участі у відкритих торгах (для цього</w:t>
            </w:r>
            <w:r w:rsidR="009D37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переможець (суб’єкт</w:t>
            </w:r>
            <w:r w:rsidR="00E444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господарювання)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повинен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 довести, що</w:t>
            </w:r>
            <w:r w:rsidR="00E444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він</w:t>
            </w:r>
            <w:r w:rsidR="00E444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сплатив</w:t>
            </w:r>
            <w:r w:rsidR="00E444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або</w:t>
            </w:r>
            <w:r w:rsidR="00E444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зобов’язався</w:t>
            </w:r>
            <w:r w:rsidR="00E444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сплатити</w:t>
            </w:r>
            <w:r w:rsidR="00E44405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відповідні</w:t>
            </w:r>
            <w:r w:rsidR="005D7C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зобов’язання та відшкодування</w:t>
            </w:r>
            <w:r w:rsidR="005D7C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завданих</w:t>
            </w:r>
            <w:r w:rsidR="005D7C7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збитків. </w:t>
            </w:r>
          </w:p>
        </w:tc>
      </w:tr>
    </w:tbl>
    <w:p w:rsidR="00E44588" w:rsidRPr="00F5391F" w:rsidRDefault="00E44588" w:rsidP="00E445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E44588" w:rsidRPr="00F5391F" w:rsidRDefault="00E44588" w:rsidP="00E445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E44588" w:rsidRPr="00F5391F" w:rsidRDefault="00E44588" w:rsidP="00E4458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3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3.2. Документи, якінадаються ПЕРЕМОЖЦЕМ (фізичною особою чифізичною особою</w:t>
      </w:r>
      <w:r w:rsidRPr="00F5391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— </w:t>
      </w:r>
      <w:proofErr w:type="gramStart"/>
      <w:r w:rsidRPr="00F53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</w:t>
      </w:r>
      <w:proofErr w:type="gramEnd"/>
      <w:r w:rsidRPr="00F539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ідприємцем):</w:t>
      </w:r>
    </w:p>
    <w:tbl>
      <w:tblPr>
        <w:tblW w:w="11055" w:type="dxa"/>
        <w:tblInd w:w="-893" w:type="dxa"/>
        <w:tblLayout w:type="fixed"/>
        <w:tblLook w:val="0400"/>
      </w:tblPr>
      <w:tblGrid>
        <w:gridCol w:w="566"/>
        <w:gridCol w:w="5239"/>
        <w:gridCol w:w="5250"/>
      </w:tblGrid>
      <w:tr w:rsidR="00E44588" w:rsidRPr="00F5391F" w:rsidTr="00E44405">
        <w:trPr>
          <w:trHeight w:val="8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№</w:t>
            </w:r>
          </w:p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Вимоги</w:t>
            </w:r>
            <w:r w:rsidR="00A27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 xml:space="preserve">згідно пункту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47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Особливостей</w:t>
            </w:r>
          </w:p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</w:pP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Переможець</w:t>
            </w:r>
            <w:r w:rsidR="00A27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торгів на виконання</w:t>
            </w:r>
            <w:r w:rsidR="00A27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вимоги</w:t>
            </w:r>
            <w:r w:rsidR="00A27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 xml:space="preserve">згідно пункту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>47</w:t>
            </w:r>
            <w:r w:rsidR="00A27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en-US"/>
              </w:rPr>
              <w:t>Особ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ливостей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ідтвердження</w:t>
            </w:r>
            <w:r w:rsidR="00A27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відсутності</w:t>
            </w:r>
            <w:r w:rsidR="00A27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підстав) повинен надати</w:t>
            </w:r>
            <w:r w:rsidR="00A27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таку</w:t>
            </w:r>
            <w:r w:rsidR="00A27D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інформацію:</w:t>
            </w:r>
          </w:p>
        </w:tc>
      </w:tr>
      <w:tr w:rsidR="00E44588" w:rsidRPr="00F5391F" w:rsidTr="00E44405">
        <w:trPr>
          <w:trHeight w:val="17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Керівника</w:t>
            </w:r>
            <w:r w:rsidR="00A27D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учасника</w:t>
            </w:r>
            <w:r w:rsidR="00A27D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процедури</w:t>
            </w:r>
            <w:r w:rsidR="00A27D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і, фізичну особу, яка є учасником</w:t>
            </w:r>
            <w:r w:rsidR="00A27D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процедури</w:t>
            </w:r>
            <w:r w:rsidR="00A27D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закупівлі, було</w:t>
            </w:r>
            <w:r w:rsidR="00A27D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притягнуто</w:t>
            </w:r>
            <w:r w:rsidR="00A27D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згідно</w:t>
            </w:r>
            <w:r w:rsidR="00A27D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із</w:t>
            </w:r>
            <w:r w:rsidR="00A27D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законом  до</w:t>
            </w:r>
            <w:r w:rsidR="00A27D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відповідальності за вчинення</w:t>
            </w:r>
            <w:r w:rsidR="00A27D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корупційного</w:t>
            </w:r>
            <w:r w:rsidR="00A27D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правопорушення</w:t>
            </w:r>
            <w:r w:rsidR="00A27D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або</w:t>
            </w:r>
            <w:r w:rsidR="00A27D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правопорушення, пов’язаного з корупцією.</w:t>
            </w:r>
          </w:p>
          <w:p w:rsidR="00E44588" w:rsidRPr="00F5391F" w:rsidRDefault="00E44588" w:rsidP="00E4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(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п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ідпункт 3 пункт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 xml:space="preserve">47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Особливостей)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* Інформаційна</w:t>
            </w:r>
            <w:r w:rsidR="00A27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довідка з Єдиного державного реєстру</w:t>
            </w:r>
            <w:r w:rsidR="00A27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осіб, які вчинили корупційні</w:t>
            </w:r>
            <w:r w:rsidR="00A27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або</w:t>
            </w:r>
            <w:r w:rsidR="00A27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пов’язан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і з корупцією</w:t>
            </w:r>
            <w:r w:rsidR="00A27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правопорушення, згідно з якою не буде знайдено</w:t>
            </w:r>
            <w:r w:rsidR="00A27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інформації про корупційні</w:t>
            </w:r>
            <w:r w:rsidR="00A27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або</w:t>
            </w:r>
            <w:r w:rsidR="00A27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пов'язані з корупцією</w:t>
            </w:r>
            <w:r w:rsidR="00A27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правопорушення</w:t>
            </w:r>
            <w:r w:rsidR="00A27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фізичної особи, яка є  учасником</w:t>
            </w:r>
            <w:r w:rsidR="00A27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процедури</w:t>
            </w:r>
            <w:r w:rsidR="00A27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закупівлі. </w:t>
            </w:r>
          </w:p>
          <w:p w:rsidR="00E44588" w:rsidRPr="00F5391F" w:rsidRDefault="00E44588" w:rsidP="00E44405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*Згідно з пунктом 47 Особливостей </w:t>
            </w:r>
            <w:r w:rsidR="00A27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Переможець</w:t>
            </w:r>
            <w:r w:rsidR="00A27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процедури</w:t>
            </w:r>
            <w:r w:rsidR="00A27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 у строк, що не перевищує</w:t>
            </w:r>
            <w:r w:rsidR="00A27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чотиридні з дати</w:t>
            </w:r>
            <w:r w:rsidR="00A27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оприлюднення в електронній</w:t>
            </w:r>
            <w:r w:rsidR="00A27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системі</w:t>
            </w:r>
            <w:r w:rsidR="00A27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закупівель</w:t>
            </w:r>
            <w:r w:rsidR="00A27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повідомлення про намір</w:t>
            </w:r>
            <w:r w:rsidR="00A27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укласти</w:t>
            </w:r>
            <w:r w:rsidR="00A27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договір про закупівлю, повинен надати</w:t>
            </w:r>
            <w:r w:rsidR="00A27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замовнику шляхом оприлюднення в електронній</w:t>
            </w:r>
            <w:r w:rsidR="00A27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системі</w:t>
            </w:r>
            <w:r w:rsidR="00A27D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закупівель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документи, що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підтверджують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відсутність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підстав, зазначених у </w:t>
            </w:r>
            <w:hyperlink r:id="rId15" w:anchor="n618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підпунктах 3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hyperlink r:id="rId16" w:anchor="n620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5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hyperlink r:id="rId17" w:anchor="n621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і </w:t>
            </w:r>
            <w:hyperlink r:id="rId18" w:anchor="n627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12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та в </w:t>
            </w:r>
            <w:hyperlink r:id="rId19" w:anchor="n628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абзаці</w:t>
              </w:r>
              <w:r w:rsidR="00733DD8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uk-UA" w:eastAsia="en-US"/>
                </w:rPr>
                <w:t xml:space="preserve"> </w:t>
              </w:r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чотирнадцятому</w:t>
              </w:r>
            </w:hyperlink>
            <w:r w:rsidR="00733DD8">
              <w:rPr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цього пункту.</w:t>
            </w:r>
          </w:p>
          <w:p w:rsidR="00E44588" w:rsidRPr="00F5391F" w:rsidRDefault="00E44588" w:rsidP="00E44405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Згідно з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ідпунктом 3 пункту 44 Особливостей 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–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Замовник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відхиляє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тендерну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пропозицію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із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зазначенням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аргументації в електронній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системі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закупівель у разі, коли переможець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процедури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закупівлі не надав у спосіб, зазначений в тендерній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документації, документи, що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підтверджують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відсутність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підстав, визначених у </w:t>
            </w:r>
            <w:hyperlink r:id="rId20" w:anchor="n618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підпунктах 3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hyperlink r:id="rId21" w:anchor="n620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5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, </w:t>
            </w:r>
            <w:hyperlink r:id="rId22" w:anchor="n621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6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і </w:t>
            </w:r>
            <w:hyperlink r:id="rId23" w:anchor="n627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12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та в </w:t>
            </w:r>
            <w:hyperlink r:id="rId24" w:anchor="n628" w:history="1"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абзаці</w:t>
              </w:r>
              <w:r w:rsidR="00733DD8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uk-UA" w:eastAsia="en-US"/>
                </w:rPr>
                <w:t xml:space="preserve"> </w:t>
              </w:r>
              <w:r w:rsidRPr="00F5391F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eastAsia="en-US"/>
                </w:rPr>
                <w:t>чотирнадцятому</w:t>
              </w:r>
            </w:hyperlink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пункту 47 Особливостей.</w:t>
            </w:r>
          </w:p>
          <w:p w:rsidR="00E44588" w:rsidRPr="00F5391F" w:rsidRDefault="00E44588" w:rsidP="00E44405">
            <w:pPr>
              <w:spacing w:after="0" w:line="252" w:lineRule="auto"/>
              <w:ind w:right="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proofErr w:type="gramStart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04.09.2023 р. Національне агентство з питань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запобігання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корупції (НАЗК) відкрило доступ до Реєструосіб, які вчинили корупційні та пов’язані з корупцією</w:t>
            </w:r>
            <w:r w:rsidR="00733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правопорушення, з урахуванням</w:t>
            </w:r>
            <w:r w:rsidR="000718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безпекових</w:t>
            </w:r>
            <w:r w:rsidR="000718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аспектів. Протез</w:t>
            </w:r>
            <w:r w:rsidR="000718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гідно з постановою КМУ від 12.03.2022 р. № 263, яка застосовується до припинення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чи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скасування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воєнного стану, інформаційні, інформаційно-комунікаційні та електронні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комунікаційні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системи, публічні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електронні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реєстриможуть як зупиняти, обмежувати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свою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 роботу, так і відкриватись, поновлюватись у періодвоєнного стану.</w:t>
            </w:r>
          </w:p>
          <w:p w:rsidR="00E44588" w:rsidRPr="00F5391F" w:rsidRDefault="00E44588" w:rsidP="00E44405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 xml:space="preserve">Таким чином, Інформаційнадовідка з Єдиного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державного реєструосіб, які вчинили корупційні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або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пов’язані з корупцією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правопорушення, згідно з якою не буде знайдено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інформації про корупційні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або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пов'язані з корупціє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юправопорушення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фізичної особи, яка є  учасником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процедури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і, надається</w:t>
            </w:r>
            <w:r w:rsidR="00C308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переможцем.</w:t>
            </w:r>
          </w:p>
        </w:tc>
      </w:tr>
      <w:tr w:rsidR="00E44588" w:rsidRPr="00F5391F" w:rsidTr="00E44405">
        <w:trPr>
          <w:trHeight w:val="166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Фізична особа, яка є учасником</w:t>
            </w:r>
            <w:r w:rsidR="00C308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процедури</w:t>
            </w:r>
            <w:r w:rsidR="00C308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і, </w:t>
            </w:r>
            <w:r w:rsidR="00C308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булла</w:t>
            </w:r>
            <w:r w:rsidR="00C308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засуджена за кримінальне</w:t>
            </w:r>
            <w:r w:rsidR="00C308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правопорушення, вчинене з корисливих</w:t>
            </w:r>
            <w:r w:rsidR="00C3083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мотивів (зокрема, пов’язане з хабарництвом та відмиванням</w:t>
            </w:r>
            <w:r w:rsidR="00D4048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коштів), судимість з якої не знятоабо не погашено в установленому законом порядку.</w:t>
            </w:r>
          </w:p>
          <w:p w:rsidR="00E44588" w:rsidRPr="00F5391F" w:rsidRDefault="00E44588" w:rsidP="00E44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(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п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ідпункт 5 пункт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 xml:space="preserve">47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Особливостей)</w:t>
            </w:r>
          </w:p>
        </w:tc>
        <w:tc>
          <w:tcPr>
            <w:tcW w:w="52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588" w:rsidRPr="00F5391F" w:rsidRDefault="00E44588" w:rsidP="00E4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Повний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витяг з інформаційно-аналітичної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системи «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ік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відомостей про притягнення особи до кримінальної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відповідальності та наявності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судимості» сформований у паперовій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або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електронній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формі, що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міститьі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нформацію про відсутність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судимості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або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обмежень, передбачених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кримінальним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процесуальним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законодавством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України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щодо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фізичної особи, яка є учасником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процедуриз</w:t>
            </w:r>
            <w:r w:rsidR="00C3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акупівлі. </w:t>
            </w:r>
          </w:p>
          <w:p w:rsidR="00E44588" w:rsidRPr="00F5391F" w:rsidRDefault="00E44588" w:rsidP="00E4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44588" w:rsidRPr="00F5391F" w:rsidRDefault="00E44588" w:rsidP="00E4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Документ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повинен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 бути виданий/ сформований/ отриманий в поточному році.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44588" w:rsidRPr="00F5391F" w:rsidTr="00E44405">
        <w:trPr>
          <w:trHeight w:val="16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Керівникаучасникапроцедуризакупі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>і, фізичну особу, яка є учасникомпроцедуризакупівлі, булопритягнутозгідноіз законом до відповідальності за вчиненняправопорушення, пов’язаного з використаннямдитячоїпрацічи будь-якими формами торгівлі людьми.</w:t>
            </w:r>
          </w:p>
          <w:p w:rsidR="00E44588" w:rsidRPr="00F5391F" w:rsidRDefault="00E44588" w:rsidP="00E4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(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п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 xml:space="preserve">ідпункт 12 пункт </w:t>
            </w: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  <w:lang w:eastAsia="en-US"/>
              </w:rPr>
              <w:t xml:space="preserve">47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Особливостей)</w:t>
            </w:r>
          </w:p>
        </w:tc>
        <w:tc>
          <w:tcPr>
            <w:tcW w:w="525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44588" w:rsidRPr="00F5391F" w:rsidRDefault="00E44588" w:rsidP="00E4440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4588" w:rsidRPr="00F5391F" w:rsidTr="00E44405">
        <w:trPr>
          <w:trHeight w:val="40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Учасникпроцедуризакупі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 не виконавсвоїзобов’язання за ранішеукладеним договором про закупівлю з цим самим замовником, щопризвело до йогодостроковогорозірвання, і булозастосованосанкції у виглядіштрафів та/абовідшкодуваннязбитків — протягомтрьохроків з датидостроковогорозірвання такого договору. Учасникпроцедуризакупі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і, щоперебуває в обставинах, зазначених у цьомуабзаці, моженадатипідт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en-US"/>
              </w:rPr>
              <w:t xml:space="preserve">вердженнявжиттязаходів для доведеннясвоєїнадійності, незважаючи на наявністьвідповідноїпідстави для відмови в участі у відкритих торгах.  </w:t>
            </w:r>
          </w:p>
          <w:p w:rsidR="00E44588" w:rsidRPr="00F5391F" w:rsidRDefault="00E44588" w:rsidP="00E4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eastAsia="en-US"/>
              </w:rPr>
              <w:t>(абзац 14 пункт 47 Особливостей)</w:t>
            </w:r>
          </w:p>
        </w:tc>
        <w:tc>
          <w:tcPr>
            <w:tcW w:w="5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Довідка в довільнійформі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яка міститьінформацію про те, щоміжпереможцем та замовникомраніше не булоукладенодоговорів, або про те, щопереможецьпроцедуризакупі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івиконавсвоїзобов’язання за ранішеукладениміззамовником договором про закупівлю, відповідно, підстав, щопризвели б до йогодостроковогорозірвання і до застосуваннясанкції у виглядіштрафів та/абовідшкодуваннязбитків, не було, абодовідка з інформацією про те, щовіннадавпідтвердженнявжиттязаходів для доведеннясвоєїнадійності, незважаючи на наявністьвідповідної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ідстави для відмови в участі у відкритих торгах (для цьогопереможець (суб’єктгосподарювання) повинен довести, щовінсплативабозобов’язавсясплатитивідповіднізобов’язання та відшкодуваннязавданихзбитків. </w:t>
            </w:r>
          </w:p>
        </w:tc>
      </w:tr>
    </w:tbl>
    <w:p w:rsidR="00E44588" w:rsidRPr="00F5391F" w:rsidRDefault="00E44588" w:rsidP="00E445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E44588" w:rsidRPr="00F5391F" w:rsidRDefault="00E44588" w:rsidP="00E4458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44588" w:rsidRPr="00F5391F" w:rsidRDefault="00E44588" w:rsidP="00E44588">
      <w:pPr>
        <w:widowControl w:val="0"/>
        <w:autoSpaceDE w:val="0"/>
        <w:autoSpaceDN w:val="0"/>
        <w:adjustRightInd w:val="0"/>
        <w:spacing w:after="0" w:line="240" w:lineRule="auto"/>
        <w:ind w:right="40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F5391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2. У складі своєї пропозиції Учасник повинен також надати наступні документи:</w:t>
      </w:r>
    </w:p>
    <w:p w:rsidR="00E44588" w:rsidRPr="00F5391F" w:rsidRDefault="00E44588" w:rsidP="00E44588">
      <w:pPr>
        <w:widowControl w:val="0"/>
        <w:autoSpaceDE w:val="0"/>
        <w:autoSpaceDN w:val="0"/>
        <w:adjustRightInd w:val="0"/>
        <w:spacing w:after="0" w:line="240" w:lineRule="auto"/>
        <w:ind w:right="40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W w:w="0" w:type="auto"/>
        <w:tblInd w:w="-269" w:type="dxa"/>
        <w:tblLook w:val="04A0"/>
      </w:tblPr>
      <w:tblGrid>
        <w:gridCol w:w="549"/>
        <w:gridCol w:w="9331"/>
      </w:tblGrid>
      <w:tr w:rsidR="00E44588" w:rsidRPr="00F5391F" w:rsidTr="00E44405">
        <w:trPr>
          <w:trHeight w:val="124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Інші</w:t>
            </w:r>
            <w:r w:rsidR="0050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документи</w:t>
            </w:r>
            <w:r w:rsidR="0050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</w:t>
            </w:r>
            <w:r w:rsidR="00505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Учасника:</w:t>
            </w:r>
          </w:p>
        </w:tc>
      </w:tr>
      <w:tr w:rsidR="00E44588" w:rsidRPr="00F5391F" w:rsidTr="00E44405">
        <w:trPr>
          <w:trHeight w:val="807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r w:rsidR="0050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r w:rsidR="0050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r w:rsidR="0050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 не керівником</w:t>
            </w:r>
            <w:r w:rsidR="0050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учасника, зазначеним у Єдиному державному реє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50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r w:rsidR="0050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осіб, фізичних</w:t>
            </w:r>
            <w:r w:rsidR="0050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осіб-підприємців та громадських</w:t>
            </w:r>
            <w:r w:rsidR="0050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формувань, а іншою особою, учасник</w:t>
            </w:r>
            <w:r w:rsidR="0050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r w:rsidR="0050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r w:rsidR="0050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 w:rsidR="00505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 на таку особу.</w:t>
            </w:r>
          </w:p>
        </w:tc>
      </w:tr>
      <w:tr w:rsidR="00E44588" w:rsidRPr="00F5391F" w:rsidTr="00E44405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2.1. У разі, якщодогові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про закупівлю є значним для учасника в розумінні ст.44 Закону України «Про товариства з обмеженою та додатковоювідповідальністю» (№ 2275-VIII від 06.02.2018) (якщоучасник є ТОВ або ТДВ), учасник в складітендерноїпропозиціїнадає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zh-CN"/>
              </w:rPr>
              <w:t>документ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(протокол зборівучасників/засновників), якийпідтверджує про делегуванняучасником (учасниками) товариствакерівнику та/абопосадової (службової) особи учасникаповноважень на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ідписання такого договору за результатами проведеноїданоїпроцедуризакупівлі.</w:t>
            </w:r>
          </w:p>
          <w:p w:rsidR="00E44588" w:rsidRPr="00F5391F" w:rsidRDefault="00E44588" w:rsidP="00E4440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2.2. У разі, якщодогові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про закупівлю не є значним в розумінні ст. 44 Закону, учасникнадаєгарантійний лист, щоДоговір, який буде підписаний у разівизначенняучасника - переможцемзакупівлі, не є значним в розумінні ст. 44 Закону України «Про товариства з обмеженою та додатковоювідповідальністю» (№ 2275-VIII від 06.02.2018).</w:t>
            </w:r>
          </w:p>
        </w:tc>
      </w:tr>
      <w:tr w:rsidR="00E44588" w:rsidRPr="00F5391F" w:rsidTr="00E44405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Гарантійний лист відучасника, складений в довільнійформі, за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ідписомуповноваженої особи учасника, про те що за останні 12 місяцівучасником не проводились операції з «офшорними» юрисдикціямивизнаними в Україні (Постанова  КМУ № 1045 від 27.12.2017) та з юрисдикціямиіз «Чорного списку» ЄС. ЯкщоЗамовником буде встановлено,  щоучасникомнаданонедостовірнуінформацію, Замовниквідхиляєтендернупропозицію такого учасника, як такущо не відповідаєвимогамтендерноїдокументації.</w:t>
            </w:r>
          </w:p>
        </w:tc>
      </w:tr>
      <w:tr w:rsidR="00E44588" w:rsidRPr="00F5391F" w:rsidTr="00E44405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Довідка</w:t>
            </w:r>
            <w:r w:rsidR="0050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від</w:t>
            </w:r>
            <w:r w:rsidR="0050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учасника, складена в довільній</w:t>
            </w:r>
            <w:r w:rsidR="0050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формі, за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ідписом</w:t>
            </w:r>
            <w:r w:rsidR="0050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уповноваженої особи учасника, щодо</w:t>
            </w:r>
            <w:r w:rsidR="0050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дотримання</w:t>
            </w:r>
            <w:r w:rsidR="0050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учасником в своїй</w:t>
            </w:r>
            <w:r w:rsidR="0050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діяльності норм чинного законодавства</w:t>
            </w:r>
            <w:r w:rsidR="005054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України, в тому числі: </w:t>
            </w:r>
          </w:p>
          <w:p w:rsidR="00E44588" w:rsidRPr="00F5391F" w:rsidRDefault="00E44588" w:rsidP="00E4440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  <w:t xml:space="preserve">Закону України "Про санкції" від 14.08.2014р. № 1644-VII; </w:t>
            </w:r>
          </w:p>
          <w:p w:rsidR="00E44588" w:rsidRPr="00F5391F" w:rsidRDefault="00E44588" w:rsidP="00E4440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  <w:t>Закону України «Про запобігання та протидіюлегалізації (відмиванню) доходів, одержанихзлочинним шляхом, фінансуваннютероризму та фінансуваннюрозповсюдженнязброїмасовогознищення»  від 14.10.2014р. № 1702-VII;</w:t>
            </w:r>
          </w:p>
          <w:p w:rsidR="00E44588" w:rsidRPr="00F5391F" w:rsidRDefault="00E44588" w:rsidP="00E4440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  <w:t>Рішення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Р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ади національноїбезпеки і оборони Українивід 28 квітня 2017 року «Про застосуванняперсональнихспеціальнихсанкцій та іншихобмежувальнихзаходів (санкцій)» введене в дію Указом Президента Українивід 15.05.2017 р. № 133/2017; </w:t>
            </w:r>
          </w:p>
          <w:p w:rsidR="00E44588" w:rsidRPr="00F5391F" w:rsidRDefault="00E44588" w:rsidP="00E4440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</w:r>
            <w:proofErr w:type="gramStart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ішення РНБО Українивід 2 травня 2018 року введеними в дію Указом Президента України № 126/2018 від 14.05.2018 р.; </w:t>
            </w:r>
          </w:p>
          <w:p w:rsidR="00E44588" w:rsidRPr="00F5391F" w:rsidRDefault="00E44588" w:rsidP="00E4440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  <w:t>Постанови КабінетуМіні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стр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іввід 07.11.2014р. №595 «Деякіпитанняфінансуваннябюджетнихустанов, здійсненнясоціальнихвиплатнаселенню та наданняфінансовоїпідтримкиокремимпідприємствам і організаціямДонецької та Луганської областей»;</w:t>
            </w:r>
          </w:p>
          <w:p w:rsidR="00E44588" w:rsidRPr="00F5391F" w:rsidRDefault="00E44588" w:rsidP="00E4440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  <w:t>Постанови КабінетуМіні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стр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іввід 16.12.2015р. №1035 «Про обмеження поставок окремихтоварів (робіт, послуг) з тимчасовоокупованоїтериторії на іншутериторіюУкраїни та/або з іншоїтериторіїУкраїни на тимчасовоокупованутериторію»;</w:t>
            </w:r>
          </w:p>
          <w:p w:rsidR="00E44588" w:rsidRPr="00F5391F" w:rsidRDefault="00E44588" w:rsidP="00E44405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</w:t>
            </w:r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ab/>
              <w:t>Постанови КабінетуМіністрівУкраїнивід 30 грудня 2015р.  № 1147 «Про заборонуввезення на митнутериторіюУкраїнитоварів, щопоходять з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Р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осійськоїФедерації».</w:t>
            </w:r>
          </w:p>
        </w:tc>
      </w:tr>
      <w:tr w:rsidR="00E44588" w:rsidRPr="00F5391F" w:rsidTr="00E44405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right="120" w:hanging="2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spacing w:after="0" w:line="240" w:lineRule="auto"/>
              <w:ind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Документ, щопідтверджуєпроживаннягромадянинаРосійськоїФедерації, який є учасникомпроцедуризакупі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ічикінцевимбенефіціарнимвласникомучасника – юридичної особи, на територіїУкраїни на законнихпідставах. Таким документом є посвідка про тимчасовечипостійнемісцепроживання на територіїУкраїни видана у відповідності до Закону України «Про Єдинийдержавнийдемографічнийреє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 документи, щопідтверджуютьгромадянствоУкраїни, посвідчують особу чиїїспеціальний статус». Такий документ надається:</w:t>
            </w:r>
          </w:p>
          <w:p w:rsidR="00E44588" w:rsidRPr="00F5391F" w:rsidRDefault="00E44588" w:rsidP="00E44588">
            <w:pPr>
              <w:numPr>
                <w:ilvl w:val="0"/>
                <w:numId w:val="1"/>
              </w:numPr>
              <w:tabs>
                <w:tab w:val="left" w:pos="331"/>
              </w:tabs>
              <w:spacing w:after="0" w:line="240" w:lineRule="auto"/>
              <w:ind w:right="1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Учасником – фізичною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особою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 яка є громадяниномРосійськоїФедерації;</w:t>
            </w:r>
          </w:p>
          <w:p w:rsidR="00E44588" w:rsidRPr="00F5391F" w:rsidRDefault="00E44588" w:rsidP="00E445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Учасником – юридичною особою, кінцевимбенефіціарнимвласникомякої є громадянинРосійськоїФедерації.</w:t>
            </w:r>
          </w:p>
        </w:tc>
      </w:tr>
      <w:tr w:rsidR="00E44588" w:rsidRPr="00F5391F" w:rsidTr="00E44405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44588" w:rsidRPr="00F5391F" w:rsidRDefault="00E44588" w:rsidP="00E44405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44588" w:rsidRPr="00F5391F" w:rsidRDefault="00E44588" w:rsidP="00E4440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Учасник у складітендерноїпропозиціїмаєнадатидовідку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</w:rPr>
              <w:t>в дов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</w:rPr>
              <w:t>ільнійформі про те, щовін не здійснюєгосподарськудіяльністьабойогомісцезнаходження (місцепроживання – для фізичнихосіб-підприємців) не знаходиться на тимчасовоокупованійтериторії. У разі, якщомісцезнаходженняучасниказареєстроване на тимчасовоокупованійтериторії, учасникмаєнадатипідтвердженнязміниподатковоїадреси на іншутериторіюУкраїнивиданеуповноваженим на це органом.</w:t>
            </w:r>
          </w:p>
          <w:p w:rsidR="00E44588" w:rsidRPr="00F5391F" w:rsidRDefault="00E44588" w:rsidP="00E4440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Тимчасово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окупованоютериторією є частини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території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України, в межах яких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збройні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формування</w:t>
            </w:r>
            <w:proofErr w:type="gramStart"/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осійської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Федерації та окупацій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адміністрація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Російської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Федерації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встановили та здійснюють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фактичний контроль або в межах яких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збройні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формування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Російської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Федерації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встановили та здійснюють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загальний контроль з метою встановлення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окупаційної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адміністрації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Російської</w:t>
            </w:r>
            <w:r w:rsidR="00EF34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Федерації.</w:t>
            </w:r>
          </w:p>
          <w:p w:rsidR="00E44588" w:rsidRPr="00F5391F" w:rsidRDefault="00E44588" w:rsidP="00E4440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 разіненаданняучасникомінформаціїабо у випадкуякщоучасникзареєстрований на тимчасовоокупованійтериторії та не надав у складітендерноїпропозиції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ідтвердженнязміниподатковоїадреси на іншутериторіюУкраїнивиданеуповноваженим на це органом, замовниквідхиляєйоготендернупропозицію на підставі абзацу 5 підпункту 2 пункту 41 Особливостей, а саме: тендернапропозиція не відповідаєвимогам, установленим у тендернійдокументаціївідповідно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абзацу першогочастинитретьоїстатті 22 Закону.</w:t>
            </w:r>
          </w:p>
        </w:tc>
      </w:tr>
      <w:tr w:rsidR="00E44588" w:rsidRPr="00F5391F" w:rsidTr="00E44405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588" w:rsidRPr="00F5391F" w:rsidRDefault="00E44588" w:rsidP="00E44405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588" w:rsidRPr="00F5391F" w:rsidRDefault="00E44588" w:rsidP="00E44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 разі, якщоучасникабойогокінцевийбенефіціарнийвласник, член абоучасник (акціонер), щомаєчастку в статутному капіталі 10 і більшевідсотків (далі - активи), є громадяниномРосійськоїФедерації / РеспублікиБілорусь</w:t>
            </w:r>
            <w:r w:rsidR="00EF34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>/</w:t>
            </w:r>
            <w:r w:rsidR="00EF3415">
              <w:rPr>
                <w:rFonts w:ascii="Times New Roman" w:hAnsi="Times New Roman"/>
                <w:color w:val="000000"/>
                <w:sz w:val="24"/>
                <w:szCs w:val="24"/>
                <w:shd w:val="solid" w:color="FFFFFF" w:fill="FFFFFF"/>
                <w:lang w:val="uk-UA"/>
              </w:rPr>
              <w:t>Ісламської Республіки Іран</w:t>
            </w:r>
            <w:r w:rsidR="00EF34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 проживає на територіїУкраїни на законнихпідставах, учасник у складітендерноїпропозиціїмаєнадатистосовно таких осіб:</w:t>
            </w:r>
            <w:proofErr w:type="gramEnd"/>
          </w:p>
          <w:p w:rsidR="00E44588" w:rsidRPr="00F5391F" w:rsidRDefault="00E44588" w:rsidP="00E4440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• військовий квиток, виданийіноземцю, який в установленому порядку уклав контракт про проходженнявійськовоїслужби у Збройних Силах України, Державнійспеціальнійслужбі транспорту абоНаціональнійгвардіїУкраїни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або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• посвідченнябіженцячи документ, щопідтверджуєнаданняпритулку в Україні,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або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br/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• посвідчення особи, яка потребуєдодатковогозахисту в Україні,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або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•    посвідчення особи, якійнаданотимчасовийзахист в Україн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і,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або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• витягізреєструтериторіальноїгромади, щопідтверджуєзареєстрованеабозадекларованемісцепроживання (перебування) особи разом з посвідкою на тимчасовепроживанняабопосвідкою на постійнепроживанняабовізою.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У разі, якщоактивиучасника в установленомузаконодавством порядку передані в 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управлінняНаціональному агентству з питаньвиявлення, розшуку та управління активами, одержанимивідкорупційних та іншихзлочинів», учасник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складітендерноїпропозиціїмаєнадати: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• Ухвалу слідчогосудді, суду, щодоарештуактивів,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або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br/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• Нотаріальнозасвідченукопіюзгодивласника, щодоуправління активами,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а також: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 • ДоговіруправліннямайномукладенийміжНаціональним агентством з питаньвиявлення, розшуку та управління активами одержанимивідкорупційних та іншихзлочинів та управителем,</w:t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t>або</w:t>
            </w:r>
            <w:r w:rsidRPr="00F539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  <w:br/>
            </w:r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• </w:t>
            </w:r>
            <w:proofErr w:type="gramStart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F539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ішенняКабінетуМіністрівУкраїни, щодоуправління активами, на якінакладеноарешт у кримінальномупровадженні.</w:t>
            </w:r>
          </w:p>
        </w:tc>
      </w:tr>
      <w:tr w:rsidR="00E44588" w:rsidRPr="00A27DA2" w:rsidTr="00E44405"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44588" w:rsidRPr="00F5391F" w:rsidRDefault="00E44588" w:rsidP="00E44405">
            <w:pPr>
              <w:tabs>
                <w:tab w:val="left" w:pos="31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9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588" w:rsidRPr="00F5391F" w:rsidRDefault="00E44588" w:rsidP="00E44405">
            <w:pPr>
              <w:spacing w:after="0" w:line="240" w:lineRule="auto"/>
              <w:ind w:firstLine="6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Підтвердження відповідності пропозиції Учасника необхідним технічним, якісним та кількісним характеристикам предмета закупівлі, у тому числі відповідній технічній специфікації (у разі потреби – планам, кресленням, малюнкам чи опису предмета закупівлі) 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у вигляді листа-гарантії</w:t>
            </w:r>
            <w:r w:rsidRPr="00F53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наступного змісту: 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«Ми, 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  <w:t>зазначити найменування Учасника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 підтверджуємо відповідність своєї 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 тендерній документації, в т.ч. Додатку 2 тендерної документації, а також підтверджуємо можливість поставки товару, у відповідності до вимог, визначених згідно з умовами тендерної документації ».</w:t>
            </w:r>
          </w:p>
          <w:p w:rsidR="00E44588" w:rsidRPr="00F5391F" w:rsidRDefault="00E44588" w:rsidP="00E4440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>Також необхідно надати копії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 або оригінали документів, що підтверджують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 відповідність запропонованого товару вимогам 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en-US"/>
              </w:rPr>
              <w:t>Додатку 2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 та у разі надання еквіваленту товару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 - порівняльну таблицю, та копії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 або оригінали документів, що підтверджують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 відповідність запропонованого товару характеристикам, що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  <w:r w:rsidRPr="00F53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en-US"/>
              </w:rPr>
              <w:t xml:space="preserve"> учасник зазначив у порівняльній таблиці.</w:t>
            </w:r>
          </w:p>
        </w:tc>
      </w:tr>
    </w:tbl>
    <w:p w:rsidR="00E44588" w:rsidRPr="00F5391F" w:rsidRDefault="00E44588" w:rsidP="00E44588">
      <w:pPr>
        <w:widowControl w:val="0"/>
        <w:autoSpaceDE w:val="0"/>
        <w:autoSpaceDN w:val="0"/>
        <w:adjustRightInd w:val="0"/>
        <w:spacing w:after="0" w:line="240" w:lineRule="auto"/>
        <w:ind w:right="404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</w:p>
    <w:p w:rsidR="00FB5508" w:rsidRPr="00F5391F" w:rsidRDefault="00FB550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B5508" w:rsidRPr="00F5391F" w:rsidSect="00E4440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045C4"/>
    <w:multiLevelType w:val="hybridMultilevel"/>
    <w:tmpl w:val="EE62D858"/>
    <w:lvl w:ilvl="0" w:tplc="9306CDB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E44588"/>
    <w:rsid w:val="000718D9"/>
    <w:rsid w:val="00123B2D"/>
    <w:rsid w:val="00305C47"/>
    <w:rsid w:val="003460CF"/>
    <w:rsid w:val="003B0236"/>
    <w:rsid w:val="003F46D7"/>
    <w:rsid w:val="004518C2"/>
    <w:rsid w:val="0048366E"/>
    <w:rsid w:val="005054E8"/>
    <w:rsid w:val="005D5C42"/>
    <w:rsid w:val="005D7C7C"/>
    <w:rsid w:val="00613BAF"/>
    <w:rsid w:val="00733DD8"/>
    <w:rsid w:val="00765145"/>
    <w:rsid w:val="007A75B3"/>
    <w:rsid w:val="007A7E1B"/>
    <w:rsid w:val="008315B6"/>
    <w:rsid w:val="0083658A"/>
    <w:rsid w:val="00860026"/>
    <w:rsid w:val="009D377F"/>
    <w:rsid w:val="00A27DA2"/>
    <w:rsid w:val="00A74D24"/>
    <w:rsid w:val="00B51D6A"/>
    <w:rsid w:val="00BC2BAB"/>
    <w:rsid w:val="00C3083B"/>
    <w:rsid w:val="00C5504D"/>
    <w:rsid w:val="00C57343"/>
    <w:rsid w:val="00CC49B7"/>
    <w:rsid w:val="00CE2717"/>
    <w:rsid w:val="00CF70BA"/>
    <w:rsid w:val="00D4048B"/>
    <w:rsid w:val="00E23786"/>
    <w:rsid w:val="00E44405"/>
    <w:rsid w:val="00E44588"/>
    <w:rsid w:val="00E6653E"/>
    <w:rsid w:val="00EA6C5C"/>
    <w:rsid w:val="00EF3415"/>
    <w:rsid w:val="00F5391F"/>
    <w:rsid w:val="00F91C14"/>
    <w:rsid w:val="00FB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%D0%BF/ed20230901" TargetMode="External"/><Relationship Id="rId13" Type="http://schemas.openxmlformats.org/officeDocument/2006/relationships/hyperlink" Target="https://zakon.rada.gov.ua/laws/show/1178-2022-%D0%BF/ed20230901" TargetMode="External"/><Relationship Id="rId18" Type="http://schemas.openxmlformats.org/officeDocument/2006/relationships/hyperlink" Target="https://zakon.rada.gov.ua/laws/show/1178-2022-%D0%BF/ed202309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178-2022-%D0%BF/ed20230901" TargetMode="External"/><Relationship Id="rId7" Type="http://schemas.openxmlformats.org/officeDocument/2006/relationships/hyperlink" Target="https://zakon.rada.gov.ua/laws/show/1178-2022-%D0%BF/ed20230901" TargetMode="External"/><Relationship Id="rId12" Type="http://schemas.openxmlformats.org/officeDocument/2006/relationships/hyperlink" Target="https://zakon.rada.gov.ua/laws/show/1178-2022-%D0%BF/ed20230901" TargetMode="External"/><Relationship Id="rId17" Type="http://schemas.openxmlformats.org/officeDocument/2006/relationships/hyperlink" Target="https://zakon.rada.gov.ua/laws/show/1178-2022-%D0%BF/ed2023090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178-2022-%D0%BF/ed20230901" TargetMode="External"/><Relationship Id="rId20" Type="http://schemas.openxmlformats.org/officeDocument/2006/relationships/hyperlink" Target="https://zakon.rada.gov.ua/laws/show/1178-2022-%D0%BF/ed202309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%D0%BF/ed20230901" TargetMode="External"/><Relationship Id="rId11" Type="http://schemas.openxmlformats.org/officeDocument/2006/relationships/hyperlink" Target="https://zakon.rada.gov.ua/laws/show/1178-2022-%D0%BF/ed20230901" TargetMode="External"/><Relationship Id="rId24" Type="http://schemas.openxmlformats.org/officeDocument/2006/relationships/hyperlink" Target="https://zakon.rada.gov.ua/laws/show/1178-2022-%D0%BF/ed20230901" TargetMode="External"/><Relationship Id="rId5" Type="http://schemas.openxmlformats.org/officeDocument/2006/relationships/hyperlink" Target="https://zakon.rada.gov.ua/laws/show/1178-2022-%D0%BF/ed20230901" TargetMode="External"/><Relationship Id="rId15" Type="http://schemas.openxmlformats.org/officeDocument/2006/relationships/hyperlink" Target="https://zakon.rada.gov.ua/laws/show/1178-2022-%D0%BF/ed20230901" TargetMode="External"/><Relationship Id="rId23" Type="http://schemas.openxmlformats.org/officeDocument/2006/relationships/hyperlink" Target="https://zakon.rada.gov.ua/laws/show/1178-2022-%D0%BF/ed20230901" TargetMode="External"/><Relationship Id="rId10" Type="http://schemas.openxmlformats.org/officeDocument/2006/relationships/hyperlink" Target="https://zakon.rada.gov.ua/laws/show/1178-2022-%D0%BF/ed20230901" TargetMode="External"/><Relationship Id="rId19" Type="http://schemas.openxmlformats.org/officeDocument/2006/relationships/hyperlink" Target="https://zakon.rada.gov.ua/laws/show/1178-2022-%D0%BF/ed202309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%D0%BF/ed20230901" TargetMode="External"/><Relationship Id="rId14" Type="http://schemas.openxmlformats.org/officeDocument/2006/relationships/hyperlink" Target="https://zakon.rada.gov.ua/laws/show/1178-2022-%D0%BF/ed20230901" TargetMode="External"/><Relationship Id="rId22" Type="http://schemas.openxmlformats.org/officeDocument/2006/relationships/hyperlink" Target="https://zakon.rada.gov.ua/laws/show/1178-2022-%D0%BF/ed20230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2023-12-02T19:35:00Z</dcterms:created>
  <dcterms:modified xsi:type="dcterms:W3CDTF">2024-03-13T18:45:00Z</dcterms:modified>
</cp:coreProperties>
</file>