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D0" w:rsidRPr="006F5D03" w:rsidRDefault="006B62D0" w:rsidP="006B62D0">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ДОГОВІР ПОСТАВКИ №</w:t>
      </w:r>
      <w:r>
        <w:rPr>
          <w:rFonts w:ascii="Times New Roman" w:hAnsi="Times New Roman" w:cs="Times New Roman"/>
          <w:b/>
          <w:bCs/>
        </w:rPr>
        <w:t>___</w:t>
      </w:r>
      <w:r w:rsidRPr="006F5D03">
        <w:rPr>
          <w:rFonts w:ascii="Times New Roman" w:hAnsi="Times New Roman" w:cs="Times New Roman"/>
          <w:b/>
          <w:bCs/>
        </w:rPr>
        <w:t xml:space="preserve"> </w:t>
      </w:r>
    </w:p>
    <w:p w:rsidR="00CA7FD5" w:rsidRPr="00B85E78" w:rsidRDefault="002D642D" w:rsidP="006B62D0">
      <w:pPr>
        <w:spacing w:after="0" w:line="276" w:lineRule="auto"/>
        <w:jc w:val="center"/>
        <w:rPr>
          <w:rFonts w:ascii="Times New Roman" w:hAnsi="Times New Roman" w:cs="Times New Roman"/>
          <w:sz w:val="24"/>
          <w:szCs w:val="24"/>
          <w:lang w:eastAsia="en-US"/>
        </w:rPr>
      </w:pPr>
      <w:r w:rsidRPr="00977EA3">
        <w:rPr>
          <w:rFonts w:ascii="Times New Roman" w:eastAsia="Times New Roman" w:hAnsi="Times New Roman" w:cs="Times New Roman"/>
          <w:b/>
          <w:iCs/>
          <w:sz w:val="24"/>
          <w:szCs w:val="24"/>
          <w:u w:val="single"/>
        </w:rPr>
        <w:t xml:space="preserve">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Комунальне некомерційне підприємство «Монастириська міська лікарня» Монастириської міської ради, в особі директора Лисика Віктора Івановича</w:t>
      </w:r>
      <w:r w:rsidR="00645536">
        <w:rPr>
          <w:rFonts w:ascii="Times New Roman" w:hAnsi="Times New Roman" w:cs="Times New Roman"/>
          <w:sz w:val="24"/>
          <w:szCs w:val="24"/>
          <w:lang w:eastAsia="en-US"/>
        </w:rPr>
        <w:t xml:space="preserve">, </w:t>
      </w:r>
      <w:r w:rsidR="00645536" w:rsidRPr="00645536">
        <w:rPr>
          <w:rFonts w:ascii="Times New Roman" w:hAnsi="Times New Roman" w:cs="Times New Roman"/>
          <w:sz w:val="24"/>
          <w:szCs w:val="24"/>
          <w:lang w:eastAsia="en-US"/>
        </w:rPr>
        <w:t>який діє на підставі Статуту</w:t>
      </w:r>
      <w:r w:rsidRPr="00B85E78">
        <w:rPr>
          <w:rFonts w:ascii="Times New Roman" w:hAnsi="Times New Roman" w:cs="Times New Roman"/>
          <w:sz w:val="24"/>
          <w:szCs w:val="24"/>
          <w:lang w:eastAsia="en-US"/>
        </w:rPr>
        <w:t xml:space="preserve">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w:t>
      </w:r>
      <w:r w:rsidRPr="00B85E78">
        <w:rPr>
          <w:rFonts w:ascii="Times New Roman" w:hAnsi="Times New Roman" w:cs="Times New Roman"/>
          <w:sz w:val="24"/>
          <w:szCs w:val="24"/>
          <w:lang w:eastAsia="en-US"/>
        </w:rPr>
        <w:lastRenderedPageBreak/>
        <w:t>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w:t>
      </w:r>
      <w:r w:rsidR="00BE1A89">
        <w:rPr>
          <w:rFonts w:ascii="Times New Roman" w:hAnsi="Times New Roman" w:cs="Times New Roman"/>
          <w:sz w:val="24"/>
          <w:szCs w:val="24"/>
          <w:lang w:eastAsia="en-US"/>
        </w:rPr>
        <w:t>1. Строк поставки товарів: до 31.10</w:t>
      </w:r>
      <w:r w:rsidR="00AE131D">
        <w:rPr>
          <w:rFonts w:ascii="Times New Roman" w:hAnsi="Times New Roman" w:cs="Times New Roman"/>
          <w:sz w:val="24"/>
          <w:szCs w:val="24"/>
          <w:lang w:eastAsia="en-US"/>
        </w:rPr>
        <w:t>.2023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w:t>
      </w:r>
      <w:r w:rsidRPr="00DE16E5">
        <w:rPr>
          <w:rFonts w:ascii="Times New Roman" w:hAnsi="Times New Roman" w:cs="Times New Roman"/>
          <w:sz w:val="24"/>
          <w:szCs w:val="24"/>
          <w:lang w:eastAsia="en-US"/>
        </w:rPr>
        <w:lastRenderedPageBreak/>
        <w:t xml:space="preserve">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FA28AE" w:rsidRDefault="00FA28AE" w:rsidP="00DE16E5">
      <w:pPr>
        <w:spacing w:after="0" w:line="276" w:lineRule="auto"/>
        <w:ind w:firstLine="700"/>
        <w:jc w:val="center"/>
        <w:rPr>
          <w:rFonts w:ascii="Times New Roman" w:eastAsia="Times New Roman" w:hAnsi="Times New Roman" w:cs="Times New Roman"/>
          <w:b/>
          <w:sz w:val="24"/>
          <w:szCs w:val="24"/>
          <w:lang w:eastAsia="uk-UA"/>
        </w:rPr>
      </w:pP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w:t>
      </w:r>
      <w:r w:rsidR="003E24D2">
        <w:rPr>
          <w:rFonts w:ascii="Times New Roman" w:eastAsia="Times New Roman" w:hAnsi="Times New Roman" w:cs="Times New Roman"/>
          <w:bCs/>
          <w:color w:val="000000"/>
          <w:kern w:val="32"/>
          <w:sz w:val="24"/>
          <w:szCs w:val="24"/>
          <w:lang w:eastAsia="uk-UA"/>
        </w:rPr>
        <w:t>аукц</w:t>
      </w:r>
      <w:bookmarkStart w:id="6" w:name="_GoBack"/>
      <w:bookmarkEnd w:id="6"/>
      <w:r w:rsidRPr="00B85E78">
        <w:rPr>
          <w:rFonts w:ascii="Times New Roman" w:eastAsia="Times New Roman" w:hAnsi="Times New Roman" w:cs="Times New Roman"/>
          <w:bCs/>
          <w:color w:val="000000"/>
          <w:kern w:val="32"/>
          <w:sz w:val="24"/>
          <w:szCs w:val="24"/>
          <w:lang w:eastAsia="uk-UA"/>
        </w:rPr>
        <w:t>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13.6. Договір може бути змінено або розірвано за рішенням суду на вимогу однієї із Сторін </w:t>
      </w:r>
      <w:r w:rsidRPr="007B3364">
        <w:rPr>
          <w:rFonts w:ascii="Times New Roman" w:eastAsia="Times New Roman" w:hAnsi="Times New Roman" w:cs="Times New Roman"/>
          <w:bCs/>
          <w:color w:val="000000"/>
          <w:kern w:val="32"/>
          <w:sz w:val="24"/>
          <w:szCs w:val="24"/>
          <w:lang w:eastAsia="uk-UA"/>
        </w:rPr>
        <w:lastRenderedPageBreak/>
        <w:t>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FA28AE" w:rsidRDefault="00FA28AE" w:rsidP="003D52BF">
      <w:pPr>
        <w:keepNext/>
        <w:spacing w:after="0"/>
        <w:jc w:val="center"/>
        <w:outlineLvl w:val="3"/>
        <w:rPr>
          <w:rFonts w:ascii="Times New Roman" w:hAnsi="Times New Roman" w:cs="Times New Roman"/>
          <w:b/>
          <w:bCs/>
          <w:sz w:val="24"/>
          <w:szCs w:val="24"/>
        </w:rPr>
      </w:pP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IBAN UA023052990000026007025508505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АТ КБ «ПРИВАТБАНК»</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Код ЄДРПОУ 36338715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0B16AB">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065"/>
        <w:gridCol w:w="1600"/>
        <w:gridCol w:w="2137"/>
        <w:gridCol w:w="1297"/>
        <w:gridCol w:w="1181"/>
        <w:gridCol w:w="456"/>
        <w:gridCol w:w="764"/>
        <w:gridCol w:w="998"/>
        <w:gridCol w:w="991"/>
      </w:tblGrid>
      <w:tr w:rsidR="00E4524E" w:rsidRPr="00B85E78" w:rsidTr="001A5C12">
        <w:trPr>
          <w:trHeight w:val="1999"/>
        </w:trPr>
        <w:tc>
          <w:tcPr>
            <w:tcW w:w="195"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1A5C12" w:rsidRDefault="004B7B36" w:rsidP="00A87A22">
            <w:pPr>
              <w:widowControl w:val="0"/>
              <w:spacing w:line="233" w:lineRule="auto"/>
              <w:jc w:val="center"/>
              <w:rPr>
                <w:rFonts w:ascii="Times New Roman" w:hAnsi="Times New Roman" w:cs="Times New Roman"/>
                <w:bCs/>
                <w:sz w:val="16"/>
                <w:szCs w:val="16"/>
              </w:rPr>
            </w:pPr>
            <w:hyperlink r:id="rId8" w:history="1">
              <w:r w:rsidR="00287ED8" w:rsidRPr="001A5C12">
                <w:rPr>
                  <w:rFonts w:ascii="Times New Roman" w:hAnsi="Times New Roman" w:cs="Times New Roman"/>
                  <w:bCs/>
                  <w:sz w:val="16"/>
                  <w:szCs w:val="16"/>
                </w:rPr>
                <w:t>Міжнародне непатентоване найменування</w:t>
              </w:r>
            </w:hyperlink>
          </w:p>
        </w:tc>
        <w:tc>
          <w:tcPr>
            <w:tcW w:w="733" w:type="pct"/>
          </w:tcPr>
          <w:p w:rsidR="00287ED8" w:rsidRPr="001A5C12" w:rsidRDefault="00936795"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Торговельна назва товару</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97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Лікарська форма, вид і розмір упаковки (форма випуску, доза-упаковка), яка пропонується учасником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594"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Назва </w:t>
            </w:r>
            <w:r w:rsidR="00936795" w:rsidRPr="001A5C12">
              <w:rPr>
                <w:rFonts w:ascii="Times New Roman" w:hAnsi="Times New Roman" w:cs="Times New Roman"/>
                <w:bCs/>
                <w:sz w:val="16"/>
                <w:szCs w:val="16"/>
              </w:rPr>
              <w:t>та країна виробника</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Країна походження товару щодо кожної номенклатурної позиції предмета закупівлі</w:t>
            </w:r>
          </w:p>
        </w:tc>
        <w:tc>
          <w:tcPr>
            <w:tcW w:w="20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Одиниця виміру</w:t>
            </w:r>
          </w:p>
        </w:tc>
        <w:tc>
          <w:tcPr>
            <w:tcW w:w="350" w:type="pct"/>
            <w:vAlign w:val="center"/>
          </w:tcPr>
          <w:p w:rsidR="00287ED8" w:rsidRPr="001A5C12" w:rsidRDefault="00287ED8" w:rsidP="00A87A22">
            <w:pPr>
              <w:widowControl w:val="0"/>
              <w:spacing w:line="233" w:lineRule="auto"/>
              <w:ind w:firstLine="74"/>
              <w:jc w:val="center"/>
              <w:rPr>
                <w:rFonts w:ascii="Times New Roman" w:hAnsi="Times New Roman" w:cs="Times New Roman"/>
                <w:bCs/>
                <w:sz w:val="16"/>
                <w:szCs w:val="16"/>
              </w:rPr>
            </w:pPr>
            <w:r w:rsidRPr="001A5C12">
              <w:rPr>
                <w:rFonts w:ascii="Times New Roman" w:hAnsi="Times New Roman" w:cs="Times New Roman"/>
                <w:bCs/>
                <w:sz w:val="16"/>
                <w:szCs w:val="16"/>
              </w:rPr>
              <w:t>Кількість, од.</w:t>
            </w:r>
          </w:p>
        </w:tc>
        <w:tc>
          <w:tcPr>
            <w:tcW w:w="457"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Ціна за одиницю,</w:t>
            </w:r>
          </w:p>
          <w:p w:rsidR="00287ED8" w:rsidRPr="001A5C12" w:rsidRDefault="001A5C12"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без</w:t>
            </w:r>
            <w:r w:rsidR="00287ED8" w:rsidRPr="001A5C12">
              <w:rPr>
                <w:rFonts w:ascii="Times New Roman" w:hAnsi="Times New Roman" w:cs="Times New Roman"/>
                <w:bCs/>
                <w:sz w:val="16"/>
                <w:szCs w:val="16"/>
              </w:rPr>
              <w:t xml:space="preserve"> ПДВ (грн.)</w:t>
            </w:r>
          </w:p>
        </w:tc>
        <w:tc>
          <w:tcPr>
            <w:tcW w:w="455"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Загальна сума,</w:t>
            </w:r>
          </w:p>
          <w:p w:rsidR="00287ED8" w:rsidRPr="001A5C12" w:rsidRDefault="001A5C12" w:rsidP="00A87A22">
            <w:pPr>
              <w:widowControl w:val="0"/>
              <w:spacing w:line="233" w:lineRule="auto"/>
              <w:jc w:val="center"/>
              <w:rPr>
                <w:rFonts w:ascii="Times New Roman" w:hAnsi="Times New Roman" w:cs="Times New Roman"/>
                <w:bCs/>
                <w:sz w:val="16"/>
                <w:szCs w:val="16"/>
              </w:rPr>
            </w:pPr>
            <w:r>
              <w:rPr>
                <w:rFonts w:ascii="Times New Roman" w:hAnsi="Times New Roman" w:cs="Times New Roman"/>
                <w:bCs/>
                <w:sz w:val="16"/>
                <w:szCs w:val="16"/>
              </w:rPr>
              <w:t xml:space="preserve"> без</w:t>
            </w:r>
            <w:r w:rsidR="00287ED8" w:rsidRPr="001A5C12">
              <w:rPr>
                <w:rFonts w:ascii="Times New Roman" w:hAnsi="Times New Roman" w:cs="Times New Roman"/>
                <w:bCs/>
                <w:sz w:val="16"/>
                <w:szCs w:val="16"/>
              </w:rPr>
              <w:t xml:space="preserve"> ПДВ (грн.)</w:t>
            </w: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IBAN UA023052990000026007025508505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АТ КБ «ПРИВАТБАНК»</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Код ЄДРПОУ 36338715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ІПН 363387119110</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Витяг з Реєстру платників ПДВ 2219114500004</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Тел. (03555) 2-16-09</w:t>
            </w:r>
          </w:p>
          <w:p w:rsidR="00FD3A9A" w:rsidRPr="00B85E78" w:rsidRDefault="00901AEE" w:rsidP="00901AEE">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901AEE">
              <w:rPr>
                <w:rFonts w:ascii="Times New Roman" w:eastAsia="Times New Roman" w:hAnsi="Times New Roman" w:cs="Times New Roman"/>
                <w:sz w:val="24"/>
                <w:szCs w:val="24"/>
                <w:lang w:eastAsia="uk-UA"/>
              </w:rPr>
              <w:t xml:space="preserve"> 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36" w:rsidRDefault="004B7B36">
      <w:pPr>
        <w:spacing w:after="0" w:line="240" w:lineRule="auto"/>
      </w:pPr>
      <w:r>
        <w:separator/>
      </w:r>
    </w:p>
  </w:endnote>
  <w:endnote w:type="continuationSeparator" w:id="0">
    <w:p w:rsidR="004B7B36" w:rsidRDefault="004B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36" w:rsidRDefault="004B7B36">
      <w:pPr>
        <w:spacing w:after="0" w:line="240" w:lineRule="auto"/>
      </w:pPr>
      <w:r>
        <w:separator/>
      </w:r>
    </w:p>
  </w:footnote>
  <w:footnote w:type="continuationSeparator" w:id="0">
    <w:p w:rsidR="004B7B36" w:rsidRDefault="004B7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5848"/>
    <w:rsid w:val="000A3805"/>
    <w:rsid w:val="000B1261"/>
    <w:rsid w:val="000B16AB"/>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A5C12"/>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16A4"/>
    <w:rsid w:val="002B332F"/>
    <w:rsid w:val="002B3F68"/>
    <w:rsid w:val="002B3F77"/>
    <w:rsid w:val="002C34B0"/>
    <w:rsid w:val="002D07FB"/>
    <w:rsid w:val="002D573A"/>
    <w:rsid w:val="002D62C6"/>
    <w:rsid w:val="002D642D"/>
    <w:rsid w:val="002E2E12"/>
    <w:rsid w:val="002E4F69"/>
    <w:rsid w:val="002E7D7D"/>
    <w:rsid w:val="002F0F65"/>
    <w:rsid w:val="002F4E81"/>
    <w:rsid w:val="002F56A1"/>
    <w:rsid w:val="002F7D9E"/>
    <w:rsid w:val="003012FF"/>
    <w:rsid w:val="0030495A"/>
    <w:rsid w:val="00307C87"/>
    <w:rsid w:val="003109FC"/>
    <w:rsid w:val="00314AA5"/>
    <w:rsid w:val="00316805"/>
    <w:rsid w:val="00316DC3"/>
    <w:rsid w:val="003242DF"/>
    <w:rsid w:val="00331245"/>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E24D2"/>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B7B36"/>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45536"/>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B62D0"/>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B733A"/>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6D76"/>
    <w:rsid w:val="00844A66"/>
    <w:rsid w:val="00850DF0"/>
    <w:rsid w:val="00855C59"/>
    <w:rsid w:val="00861ABD"/>
    <w:rsid w:val="0086477B"/>
    <w:rsid w:val="00864FFD"/>
    <w:rsid w:val="00867682"/>
    <w:rsid w:val="00871F76"/>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3283"/>
    <w:rsid w:val="008E47A0"/>
    <w:rsid w:val="008F1B0A"/>
    <w:rsid w:val="00901AEE"/>
    <w:rsid w:val="0091104E"/>
    <w:rsid w:val="00936795"/>
    <w:rsid w:val="00942855"/>
    <w:rsid w:val="00965968"/>
    <w:rsid w:val="00966C40"/>
    <w:rsid w:val="00970767"/>
    <w:rsid w:val="0097609D"/>
    <w:rsid w:val="00976DDE"/>
    <w:rsid w:val="00977EA3"/>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461B"/>
    <w:rsid w:val="00AB3BF3"/>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A89"/>
    <w:rsid w:val="00BE1DA8"/>
    <w:rsid w:val="00BE319B"/>
    <w:rsid w:val="00BE3372"/>
    <w:rsid w:val="00BE7C41"/>
    <w:rsid w:val="00BF06F5"/>
    <w:rsid w:val="00BF0E99"/>
    <w:rsid w:val="00BF11EC"/>
    <w:rsid w:val="00BF3CC7"/>
    <w:rsid w:val="00BF4D0A"/>
    <w:rsid w:val="00C04941"/>
    <w:rsid w:val="00C04FE3"/>
    <w:rsid w:val="00C0503D"/>
    <w:rsid w:val="00C229B5"/>
    <w:rsid w:val="00C26992"/>
    <w:rsid w:val="00C44C77"/>
    <w:rsid w:val="00C511E0"/>
    <w:rsid w:val="00C60DF8"/>
    <w:rsid w:val="00C70667"/>
    <w:rsid w:val="00C75714"/>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31AD9"/>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28AE"/>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B769"/>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345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21571</Words>
  <Characters>12297</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cp:lastPrinted>2022-11-30T12:15:00Z</cp:lastPrinted>
  <dcterms:created xsi:type="dcterms:W3CDTF">2023-09-25T06:32:00Z</dcterms:created>
  <dcterms:modified xsi:type="dcterms:W3CDTF">2023-09-25T06:42:00Z</dcterms:modified>
</cp:coreProperties>
</file>