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690CBD">
                    <w:rPr>
                      <w:rFonts w:ascii="Times New Roman" w:hAnsi="Times New Roman" w:cs="Times New Roman"/>
                      <w:lang w:val="en-US"/>
                    </w:rPr>
                    <w:t>12</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BF616F">
                    <w:rPr>
                      <w:rFonts w:ascii="Times New Roman" w:hAnsi="Times New Roman" w:cs="Times New Roman"/>
                    </w:rPr>
                    <w:t>лютого</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E876CD">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BF7238" w:rsidRDefault="00BF7238" w:rsidP="000F49DC">
      <w:pPr>
        <w:jc w:val="center"/>
        <w:rPr>
          <w:lang w:val="en-US"/>
        </w:rPr>
      </w:pPr>
    </w:p>
    <w:p w:rsidR="005711D2" w:rsidRPr="00D1720A" w:rsidRDefault="00690CBD" w:rsidP="005711D2">
      <w:pPr>
        <w:ind w:firstLine="1134"/>
        <w:jc w:val="cente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955100" w:rsidRDefault="00955100" w:rsidP="00BF7238">
      <w:pPr>
        <w:ind w:firstLine="1134"/>
        <w:jc w:val="center"/>
        <w:rPr>
          <w:color w:val="000000" w:themeColor="text1"/>
          <w:lang w:val="uk-UA"/>
        </w:rPr>
      </w:pPr>
    </w:p>
    <w:p w:rsidR="004A3382" w:rsidRPr="00BF7238" w:rsidRDefault="004A3382" w:rsidP="004A3382">
      <w:pPr>
        <w:ind w:firstLine="1134"/>
        <w:jc w:val="center"/>
        <w:rPr>
          <w:lang w:val="uk-UA"/>
        </w:rPr>
      </w:pPr>
    </w:p>
    <w:p w:rsidR="00046B80" w:rsidRPr="00BF7238" w:rsidRDefault="00046B80" w:rsidP="00046B80">
      <w:pPr>
        <w:ind w:firstLine="1134"/>
        <w:jc w:val="center"/>
        <w:rPr>
          <w:lang w:val="uk-UA"/>
        </w:rPr>
      </w:pPr>
    </w:p>
    <w:p w:rsidR="00AF2D8E" w:rsidRPr="00BF7238" w:rsidRDefault="00AF2D8E" w:rsidP="00AF2D8E">
      <w:pPr>
        <w:ind w:firstLine="1134"/>
        <w:jc w:val="center"/>
        <w:rPr>
          <w:lang w:val="uk-UA"/>
        </w:rPr>
      </w:pPr>
    </w:p>
    <w:p w:rsidR="00FA18DD" w:rsidRPr="00BF7238"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D1720A" w:rsidRDefault="005407E6" w:rsidP="005711D2">
      <w:pPr>
        <w:rPr>
          <w:b/>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E876CD"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lastRenderedPageBreak/>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4B40C4"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071BF3" w:rsidRPr="00D1720A" w:rsidRDefault="00690CBD" w:rsidP="00071BF3">
            <w:pPr>
              <w:rPr>
                <w:lang w:val="uk-UA"/>
              </w:rPr>
            </w:pPr>
            <w:r w:rsidRPr="00BC6393">
              <w:rPr>
                <w:color w:val="000000" w:themeColor="text1"/>
                <w:lang w:val="uk-UA"/>
              </w:rPr>
              <w:t xml:space="preserve">Код ДК 021:2015 - </w:t>
            </w:r>
            <w:r w:rsidRPr="00BC6393">
              <w:rPr>
                <w:color w:val="000000" w:themeColor="text1"/>
              </w:rPr>
              <w:t>15330000-0</w:t>
            </w:r>
            <w:r w:rsidRPr="00BC6393">
              <w:rPr>
                <w:rStyle w:val="apple-converted-space"/>
                <w:rFonts w:eastAsia="Calibri"/>
                <w:color w:val="000000" w:themeColor="text1"/>
                <w:shd w:val="clear" w:color="auto" w:fill="FDFEFD"/>
              </w:rPr>
              <w:t> </w:t>
            </w:r>
            <w:r w:rsidRPr="00BC6393">
              <w:rPr>
                <w:color w:val="000000" w:themeColor="text1"/>
                <w:shd w:val="clear" w:color="auto" w:fill="FDFEFD"/>
              </w:rPr>
              <w:t>–</w:t>
            </w:r>
            <w:r w:rsidRPr="00BC6393">
              <w:rPr>
                <w:rStyle w:val="apple-converted-space"/>
                <w:rFonts w:eastAsia="Calibri"/>
                <w:color w:val="000000" w:themeColor="text1"/>
                <w:shd w:val="clear" w:color="auto" w:fill="FDFEFD"/>
              </w:rPr>
              <w:t> </w:t>
            </w:r>
            <w:r w:rsidRPr="00BC6393">
              <w:rPr>
                <w:color w:val="000000" w:themeColor="text1"/>
              </w:rPr>
              <w:t>Оброблені фрукти та овочі</w:t>
            </w:r>
            <w:r w:rsidRPr="00BC6393">
              <w:rPr>
                <w:color w:val="000000" w:themeColor="text1"/>
                <w:lang w:val="uk-UA"/>
              </w:rPr>
              <w:t>.</w:t>
            </w:r>
          </w:p>
          <w:p w:rsidR="009D3C48" w:rsidRPr="00071BF3" w:rsidRDefault="009D3C48" w:rsidP="009D3C48">
            <w:pPr>
              <w:rPr>
                <w:lang w:val="uk-UA"/>
              </w:rPr>
            </w:pPr>
          </w:p>
          <w:p w:rsidR="002167B4" w:rsidRPr="00112450" w:rsidRDefault="002167B4" w:rsidP="002167B4"/>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sidR="00BF616F">
              <w:rPr>
                <w:lang w:val="uk-UA"/>
              </w:rPr>
              <w:t>Україна</w:t>
            </w:r>
          </w:p>
          <w:p w:rsidR="004B40C4" w:rsidRPr="004B40C4" w:rsidRDefault="004B40C4" w:rsidP="004B40C4">
            <w:pPr>
              <w:rPr>
                <w:lang w:val="en-US"/>
              </w:rPr>
            </w:pPr>
            <w:r w:rsidRPr="0025384B">
              <w:t>Томатна паста</w:t>
            </w:r>
            <w:r>
              <w:rPr>
                <w:lang w:val="uk-UA"/>
              </w:rPr>
              <w:t>,</w:t>
            </w:r>
            <w:r w:rsidRPr="0025384B">
              <w:t xml:space="preserve"> 25%</w:t>
            </w:r>
            <w:r>
              <w:rPr>
                <w:lang w:val="uk-UA"/>
              </w:rPr>
              <w:t xml:space="preserve"> </w:t>
            </w:r>
            <w:r>
              <w:rPr>
                <w:shd w:val="clear" w:color="auto" w:fill="FFFFFF"/>
                <w:lang w:val="uk-UA"/>
              </w:rPr>
              <w:t>– 1</w:t>
            </w:r>
            <w:r>
              <w:rPr>
                <w:shd w:val="clear" w:color="auto" w:fill="FFFFFF"/>
                <w:lang w:val="en-US"/>
              </w:rPr>
              <w:t>35</w:t>
            </w:r>
            <w:r>
              <w:rPr>
                <w:shd w:val="clear" w:color="auto" w:fill="FFFFFF"/>
                <w:lang w:val="uk-UA"/>
              </w:rPr>
              <w:t>0 кг.</w:t>
            </w:r>
          </w:p>
          <w:p w:rsidR="00446B2B" w:rsidRPr="00444CD6" w:rsidRDefault="00046B80" w:rsidP="00046B80">
            <w:pPr>
              <w:pStyle w:val="af"/>
              <w:rPr>
                <w:rFonts w:ascii="Times New Roman" w:hAnsi="Times New Roman"/>
                <w:color w:val="000000" w:themeColor="text1"/>
                <w:sz w:val="24"/>
                <w:szCs w:val="24"/>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445832" w:rsidRDefault="00A2375A" w:rsidP="00A2375A">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158D0">
              <w:rPr>
                <w:lang w:val="uk-UA"/>
              </w:rPr>
              <w:t>4</w:t>
            </w:r>
            <w:r w:rsidRPr="005B3F17">
              <w:rPr>
                <w:lang w:val="uk-UA"/>
              </w:rPr>
              <w:t xml:space="preserve"> р.</w:t>
            </w:r>
          </w:p>
          <w:p w:rsidR="00607715" w:rsidRPr="00F65413" w:rsidRDefault="00607715" w:rsidP="00607715">
            <w:pPr>
              <w:jc w:val="both"/>
              <w:rPr>
                <w:b/>
                <w:lang w:val="uk-UA"/>
              </w:rPr>
            </w:pPr>
          </w:p>
          <w:p w:rsidR="00EE029C" w:rsidRPr="000F49DC" w:rsidRDefault="00EE029C" w:rsidP="009D3C48">
            <w:pPr>
              <w:jc w:val="both"/>
              <w:rPr>
                <w:lang w:val="uk-UA"/>
              </w:rPr>
            </w:pPr>
          </w:p>
        </w:tc>
      </w:tr>
      <w:tr w:rsidR="002D5DBF" w:rsidRPr="004B40C4"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4B40C4">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w:t>
            </w:r>
            <w:r w:rsidRPr="000F49DC">
              <w:rPr>
                <w:lang w:eastAsia="uk-UA"/>
              </w:rPr>
              <w:lastRenderedPageBreak/>
              <w:t>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4B40C4">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w:t>
            </w:r>
            <w:r w:rsidR="005A0DCF" w:rsidRPr="005A0DCF">
              <w:rPr>
                <w:lang w:val="uk-UA"/>
              </w:rPr>
              <w:lastRenderedPageBreak/>
              <w:t xml:space="preserve">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4B40C4">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w:t>
            </w:r>
            <w:r w:rsidRPr="006F043D">
              <w:rPr>
                <w:color w:val="000000" w:themeColor="text1"/>
              </w:rPr>
              <w:lastRenderedPageBreak/>
              <w:t>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4B40C4"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пункту), шляхом самостійного декларування відсутності таких підстав в електронній системі 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 xml:space="preserve">пункту </w:t>
            </w:r>
            <w:r w:rsidRPr="00CD5280">
              <w:rPr>
                <w:rFonts w:cstheme="minorHAnsi"/>
                <w:color w:val="000000" w:themeColor="text1"/>
                <w:shd w:val="solid" w:color="FFFFFF" w:fill="FFFFFF"/>
                <w:lang w:val="uk-UA"/>
              </w:rPr>
              <w:lastRenderedPageBreak/>
              <w:t>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w:t>
            </w:r>
            <w:r w:rsidRPr="005A0DCF">
              <w:rPr>
                <w:color w:val="000000" w:themeColor="text1"/>
                <w:lang w:val="uk-UA"/>
              </w:rPr>
              <w:lastRenderedPageBreak/>
              <w:t xml:space="preserve">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4B40C4"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3165C9" w:rsidRPr="000549F1"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0549F1">
              <w:rPr>
                <w:rFonts w:ascii="Times New Roman" w:hAnsi="Times New Roman" w:cs="Times New Roman"/>
                <w:color w:val="000000" w:themeColor="text1"/>
                <w:sz w:val="24"/>
                <w:szCs w:val="24"/>
              </w:rPr>
              <w:t>2. Пояснювальна записка</w:t>
            </w:r>
            <w:r>
              <w:rPr>
                <w:rFonts w:ascii="Times New Roman" w:hAnsi="Times New Roman" w:cs="Times New Roman"/>
                <w:color w:val="000000" w:themeColor="text1"/>
                <w:sz w:val="24"/>
                <w:szCs w:val="24"/>
              </w:rPr>
              <w:t>*</w:t>
            </w:r>
            <w:r w:rsidRPr="000549F1">
              <w:rPr>
                <w:rFonts w:ascii="Times New Roman" w:hAnsi="Times New Roman" w:cs="Times New Roman"/>
                <w:color w:val="000000" w:themeColor="text1"/>
                <w:sz w:val="24"/>
                <w:szCs w:val="24"/>
              </w:rPr>
              <w:t xml:space="preserve"> щодо </w:t>
            </w:r>
            <w:r>
              <w:rPr>
                <w:rFonts w:ascii="Times New Roman" w:hAnsi="Times New Roman" w:cs="Times New Roman"/>
                <w:color w:val="000000" w:themeColor="text1"/>
                <w:sz w:val="24"/>
                <w:szCs w:val="24"/>
              </w:rPr>
              <w:t>предмета закупівлі</w:t>
            </w:r>
            <w:r w:rsidRPr="000549F1">
              <w:rPr>
                <w:rFonts w:ascii="Times New Roman" w:hAnsi="Times New Roman" w:cs="Times New Roman"/>
                <w:color w:val="000000" w:themeColor="text1"/>
                <w:sz w:val="24"/>
                <w:szCs w:val="24"/>
              </w:rPr>
              <w:t>, складена у довільній формі, з описом якісних та функціональних характеристик запропонованого товару, має відповідати технічним, якісним та кількісним характери</w:t>
            </w:r>
            <w:r>
              <w:rPr>
                <w:rFonts w:ascii="Times New Roman" w:hAnsi="Times New Roman" w:cs="Times New Roman"/>
                <w:color w:val="000000" w:themeColor="text1"/>
                <w:sz w:val="24"/>
                <w:szCs w:val="24"/>
              </w:rPr>
              <w:t>стикам предмета закупівлі</w:t>
            </w:r>
            <w:r w:rsidRPr="000549F1">
              <w:rPr>
                <w:rFonts w:ascii="Times New Roman" w:hAnsi="Times New Roman" w:cs="Times New Roman"/>
                <w:color w:val="000000" w:themeColor="text1"/>
                <w:sz w:val="24"/>
                <w:szCs w:val="24"/>
              </w:rPr>
              <w:t>, викладеними у Додатку 3 цієї документації.</w:t>
            </w:r>
          </w:p>
          <w:p w:rsidR="003165C9"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1D762F">
              <w:rPr>
                <w:rFonts w:ascii="Times New Roman" w:hAnsi="Times New Roman" w:cs="Times New Roman"/>
                <w:color w:val="000000" w:themeColor="text1"/>
                <w:sz w:val="24"/>
                <w:szCs w:val="24"/>
              </w:rPr>
              <w:t xml:space="preserve">  *</w:t>
            </w:r>
            <w:r w:rsidRPr="00430B2D">
              <w:rPr>
                <w:rFonts w:ascii="Times New Roman" w:hAnsi="Times New Roman" w:cs="Times New Roman"/>
                <w:color w:val="000000" w:themeColor="text1"/>
                <w:sz w:val="24"/>
                <w:szCs w:val="24"/>
              </w:rPr>
              <w:t>Пояснювальну записку складати у відповідності до  технічних, якісних та кількісних характеристи</w:t>
            </w:r>
            <w:r>
              <w:rPr>
                <w:rFonts w:ascii="Times New Roman" w:hAnsi="Times New Roman" w:cs="Times New Roman"/>
                <w:color w:val="000000" w:themeColor="text1"/>
                <w:sz w:val="24"/>
                <w:szCs w:val="24"/>
              </w:rPr>
              <w:t>к  запропонованого товару від і</w:t>
            </w:r>
            <w:r w:rsidRPr="00430B2D">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w:t>
            </w:r>
            <w:r w:rsidRPr="00430B2D">
              <w:rPr>
                <w:rFonts w:ascii="Times New Roman" w:hAnsi="Times New Roman" w:cs="Times New Roman"/>
                <w:color w:val="000000" w:themeColor="text1"/>
                <w:sz w:val="24"/>
                <w:szCs w:val="24"/>
              </w:rPr>
              <w:t>я Учасника із врахуванням вимог до предмету закупівлі, викладених у Додатку №3 цієї документації</w:t>
            </w:r>
            <w:r>
              <w:rPr>
                <w:rFonts w:ascii="Times New Roman" w:hAnsi="Times New Roman" w:cs="Times New Roman"/>
                <w:color w:val="000000" w:themeColor="text1"/>
                <w:sz w:val="24"/>
                <w:szCs w:val="24"/>
              </w:rPr>
              <w:t>.</w:t>
            </w:r>
          </w:p>
          <w:p w:rsidR="00911D18" w:rsidRPr="004B40C4"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690CBD" w:rsidRPr="004B40C4" w:rsidRDefault="00690CBD"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690CBD" w:rsidTr="00370D4C">
        <w:trPr>
          <w:gridAfter w:val="1"/>
          <w:wAfter w:w="210" w:type="pct"/>
        </w:trPr>
        <w:tc>
          <w:tcPr>
            <w:tcW w:w="250" w:type="pct"/>
          </w:tcPr>
          <w:p w:rsidR="00463487" w:rsidRPr="000F49DC" w:rsidRDefault="00463487" w:rsidP="000F49DC">
            <w:pPr>
              <w:rPr>
                <w:lang w:val="uk-UA"/>
              </w:rPr>
            </w:pPr>
            <w:r>
              <w:rPr>
                <w:lang w:val="uk-UA"/>
              </w:rPr>
              <w:lastRenderedPageBreak/>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EE35C0" w:rsidRPr="005878C4" w:rsidRDefault="00EE35C0" w:rsidP="00EE35C0">
            <w:pPr>
              <w:jc w:val="both"/>
              <w:rPr>
                <w:lang w:val="uk-UA"/>
              </w:rPr>
            </w:pPr>
            <w:r w:rsidRPr="005878C4">
              <w:rPr>
                <w:lang w:val="uk-UA"/>
              </w:rPr>
              <w:t>Відповідність предмета закупівлі:</w:t>
            </w:r>
          </w:p>
          <w:p w:rsidR="00463487" w:rsidRPr="001C1884" w:rsidRDefault="004B40C4" w:rsidP="004B40C4">
            <w:pPr>
              <w:ind w:firstLine="284"/>
              <w:rPr>
                <w:lang w:val="uk-UA"/>
              </w:rPr>
            </w:pPr>
            <w:r w:rsidRPr="00A8764B">
              <w:t>Томатна паста</w:t>
            </w:r>
            <w:r>
              <w:rPr>
                <w:lang w:val="uk-UA"/>
              </w:rPr>
              <w:t xml:space="preserve">, </w:t>
            </w:r>
            <w:r w:rsidRPr="00A8764B">
              <w:t xml:space="preserve">25%. Відповідність предмета закупівлі - </w:t>
            </w:r>
            <w:r w:rsidRPr="00A8764B">
              <w:rPr>
                <w:lang w:eastAsia="uk-UA"/>
              </w:rPr>
              <w:t>ДСТУ 5081:2008.</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4B40C4">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690CBD">
              <w:rPr>
                <w:b/>
                <w:color w:val="000000" w:themeColor="text1"/>
                <w:lang w:val="uk-UA"/>
              </w:rPr>
              <w:t>2</w:t>
            </w:r>
            <w:r w:rsidR="00690CBD" w:rsidRPr="00690CBD">
              <w:rPr>
                <w:b/>
                <w:color w:val="000000" w:themeColor="text1"/>
              </w:rPr>
              <w:t>6</w:t>
            </w:r>
            <w:r w:rsidR="00284C35" w:rsidRPr="007C4D0C">
              <w:rPr>
                <w:b/>
                <w:color w:val="000000" w:themeColor="text1"/>
              </w:rPr>
              <w:t>.</w:t>
            </w:r>
            <w:r w:rsidR="004158D0">
              <w:rPr>
                <w:b/>
                <w:color w:val="000000" w:themeColor="text1"/>
                <w:lang w:val="uk-UA"/>
              </w:rPr>
              <w:t>0</w:t>
            </w:r>
            <w:r w:rsidR="001C1884">
              <w:rPr>
                <w:b/>
                <w:color w:val="000000" w:themeColor="text1"/>
                <w:lang w:val="uk-UA"/>
              </w:rPr>
              <w:t>2</w:t>
            </w:r>
            <w:r w:rsidR="00A74F62" w:rsidRPr="007C4D0C">
              <w:rPr>
                <w:b/>
                <w:color w:val="000000" w:themeColor="text1"/>
              </w:rPr>
              <w:t>.202</w:t>
            </w:r>
            <w:r w:rsidR="004158D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 xml:space="preserve">статті </w:t>
            </w:r>
            <w:r w:rsidRPr="00C376F5">
              <w:rPr>
                <w:color w:val="000000" w:themeColor="text1"/>
                <w:shd w:val="clear" w:color="auto" w:fill="FFFFFF"/>
              </w:rPr>
              <w:lastRenderedPageBreak/>
              <w:t>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w:t>
            </w:r>
            <w:r w:rsidRPr="00807169">
              <w:rPr>
                <w:color w:val="000000" w:themeColor="text1"/>
                <w:lang w:val="uk-UA"/>
              </w:rPr>
              <w:lastRenderedPageBreak/>
              <w:t>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w:t>
            </w:r>
            <w:r w:rsidR="00FC6015" w:rsidRPr="00807169">
              <w:rPr>
                <w:color w:val="000000" w:themeColor="text1"/>
                <w:shd w:val="clear" w:color="auto" w:fill="FFFFFF"/>
              </w:rPr>
              <w:lastRenderedPageBreak/>
              <w:t>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w:t>
            </w:r>
            <w:r w:rsidR="00DB1F7F" w:rsidRPr="00807169">
              <w:rPr>
                <w:color w:val="000000" w:themeColor="text1"/>
                <w:lang w:val="uk-UA" w:eastAsia="uk-UA"/>
              </w:rPr>
              <w:lastRenderedPageBreak/>
              <w:t>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9A2866" w:rsidRDefault="009A2866" w:rsidP="0032626D">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35" w:name="n599"/>
            <w:bookmarkEnd w:id="35"/>
            <w:r w:rsidRPr="00302CA0">
              <w:rPr>
                <w:color w:val="000000" w:themeColor="text1"/>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302CA0">
              <w:rPr>
                <w:color w:val="000000" w:themeColor="text1"/>
                <w:shd w:val="clear" w:color="auto" w:fill="FFFFFF"/>
              </w:rPr>
              <w:lastRenderedPageBreak/>
              <w:t>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6" w:anchor="n2" w:history="1">
              <w:r w:rsidRPr="00302CA0">
                <w:rPr>
                  <w:rStyle w:val="af1"/>
                  <w:color w:val="000000" w:themeColor="text1"/>
                  <w:shd w:val="clear" w:color="auto" w:fill="FFFFFF"/>
                </w:rPr>
                <w:t>№ 1178</w:t>
              </w:r>
            </w:hyperlink>
            <w:r w:rsidRPr="00302CA0">
              <w:rPr>
                <w:rStyle w:val="apple-converted-space"/>
                <w:color w:val="000000" w:themeColor="text1"/>
                <w:shd w:val="clear" w:color="auto" w:fill="FFFFFF"/>
              </w:rPr>
              <w:t> </w:t>
            </w:r>
            <w:r w:rsidRPr="00302CA0">
              <w:rPr>
                <w:color w:val="000000" w:themeColor="text1"/>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r w:rsidRPr="00D1720A">
              <w:rPr>
                <w:color w:val="000000" w:themeColor="text1"/>
                <w:lang w:val="uk-UA"/>
              </w:rPr>
              <w:t>2) тендерна пропозиція: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6" w:name="n601"/>
            <w:bookmarkEnd w:id="36"/>
            <w:r w:rsidRPr="00D1720A">
              <w:rPr>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7" w:anchor="n588" w:history="1">
              <w:r w:rsidRPr="00D1720A">
                <w:rPr>
                  <w:rStyle w:val="af1"/>
                  <w:color w:val="000000" w:themeColor="text1"/>
                  <w:lang w:val="uk-UA"/>
                </w:rPr>
                <w:t>пункту 43</w:t>
              </w:r>
            </w:hyperlink>
            <w:r w:rsidRPr="00807169">
              <w:rPr>
                <w:rStyle w:val="apple-converted-space"/>
                <w:color w:val="000000" w:themeColor="text1"/>
              </w:rPr>
              <w:t> </w:t>
            </w:r>
            <w:r w:rsidRPr="00D1720A">
              <w:rPr>
                <w:color w:val="000000" w:themeColor="text1"/>
                <w:lang w:val="uk-UA"/>
              </w:rPr>
              <w:t>цих особливостей;</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7" w:name="n602"/>
            <w:bookmarkEnd w:id="37"/>
            <w:r w:rsidRPr="00D1720A">
              <w:rPr>
                <w:color w:val="000000" w:themeColor="text1"/>
                <w:lang w:val="uk-UA"/>
              </w:rPr>
              <w:t>є такою, строк дії якої закінчився;</w:t>
            </w:r>
          </w:p>
          <w:p w:rsidR="0032626D" w:rsidRPr="00D1720A"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8" w:name="n603"/>
            <w:bookmarkEnd w:id="38"/>
            <w:r w:rsidRPr="00D1720A">
              <w:rPr>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 xml:space="preserve">Замовник може відхилити тендерну пропозицію із зазначенням аргументації в електронній системі закупівель у </w:t>
            </w:r>
            <w:r w:rsidR="0032626D" w:rsidRPr="00807169">
              <w:rPr>
                <w:color w:val="000000" w:themeColor="text1"/>
              </w:rPr>
              <w:lastRenderedPageBreak/>
              <w:t>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 xml:space="preserve">У разі відміни відкритих торгів замовник протягом одного </w:t>
            </w:r>
            <w:r w:rsidRPr="00807169">
              <w:rPr>
                <w:color w:val="000000" w:themeColor="text1"/>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807169">
              <w:rPr>
                <w:color w:val="000000" w:themeColor="text1"/>
              </w:rPr>
              <w:lastRenderedPageBreak/>
              <w:t>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погодження зміни ціни за одиницю товару в договорі про закупівлю у разі коливання ціни такого товару на ринку, що </w:t>
            </w:r>
            <w:r w:rsidRPr="00807169">
              <w:rPr>
                <w:color w:val="000000" w:themeColor="text1"/>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 xml:space="preserve">Дії замовника при відмові переможця </w:t>
            </w:r>
            <w:r w:rsidRPr="00807169">
              <w:rPr>
                <w:lang w:eastAsia="uk-UA"/>
              </w:rPr>
              <w:lastRenderedPageBreak/>
              <w:t>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lastRenderedPageBreak/>
              <w:t xml:space="preserve">У разі відмови переможця процедури закупівлі від підписання договору про закупівлю відповідно до вимог тендерної </w:t>
            </w:r>
            <w:r>
              <w:rPr>
                <w:bdr w:val="none" w:sz="0" w:space="0" w:color="auto" w:frame="1"/>
              </w:rPr>
              <w:lastRenderedPageBreak/>
              <w:t>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690CBD" w:rsidRDefault="001C1884" w:rsidP="00690CBD">
      <w:pPr>
        <w:ind w:firstLine="1134"/>
        <w:jc w:val="both"/>
        <w:rPr>
          <w:lang w:val="uk-UA"/>
        </w:rPr>
      </w:pPr>
      <w:r>
        <w:rPr>
          <w:lang w:val="uk-UA"/>
        </w:rPr>
        <w:t xml:space="preserve">   </w:t>
      </w:r>
      <w:r w:rsidR="004158D0">
        <w:rPr>
          <w:lang w:val="uk-UA"/>
        </w:rPr>
        <w:t xml:space="preserve"> </w:t>
      </w:r>
      <w:r w:rsidR="00553BEE" w:rsidRPr="00620FB8">
        <w:t>Ми, (назва Учасника), _________________________надаємо свою пропозицію щодо участі у відкритих торгах на закупівлю</w:t>
      </w:r>
      <w:r w:rsidR="00553BEE" w:rsidRPr="00620FB8">
        <w:rPr>
          <w:color w:val="000000" w:themeColor="text1"/>
          <w:lang w:val="uk-UA"/>
        </w:rPr>
        <w:t xml:space="preserve">  </w:t>
      </w:r>
      <w:r w:rsidR="00690CBD" w:rsidRPr="00BC6393">
        <w:rPr>
          <w:color w:val="000000" w:themeColor="text1"/>
          <w:lang w:val="uk-UA"/>
        </w:rPr>
        <w:t xml:space="preserve">Код ДК 021:2015 - </w:t>
      </w:r>
      <w:r w:rsidR="00690CBD" w:rsidRPr="00690CBD">
        <w:rPr>
          <w:color w:val="000000" w:themeColor="text1"/>
          <w:lang w:val="uk-UA"/>
        </w:rPr>
        <w:t>15330000-0</w:t>
      </w:r>
      <w:r w:rsidR="00690CBD" w:rsidRPr="00BC6393">
        <w:rPr>
          <w:rStyle w:val="apple-converted-space"/>
          <w:rFonts w:eastAsia="Calibri"/>
          <w:color w:val="000000" w:themeColor="text1"/>
          <w:shd w:val="clear" w:color="auto" w:fill="FDFEFD"/>
        </w:rPr>
        <w:t> </w:t>
      </w:r>
      <w:r w:rsidR="00690CBD" w:rsidRPr="00690CBD">
        <w:rPr>
          <w:color w:val="000000" w:themeColor="text1"/>
          <w:shd w:val="clear" w:color="auto" w:fill="FDFEFD"/>
          <w:lang w:val="uk-UA"/>
        </w:rPr>
        <w:t>–</w:t>
      </w:r>
      <w:r w:rsidR="00690CBD" w:rsidRPr="00BC6393">
        <w:rPr>
          <w:rStyle w:val="apple-converted-space"/>
          <w:rFonts w:eastAsia="Calibri"/>
          <w:color w:val="000000" w:themeColor="text1"/>
          <w:shd w:val="clear" w:color="auto" w:fill="FDFEFD"/>
        </w:rPr>
        <w:t> </w:t>
      </w:r>
      <w:r w:rsidR="00690CBD" w:rsidRPr="00690CBD">
        <w:rPr>
          <w:color w:val="000000" w:themeColor="text1"/>
          <w:lang w:val="uk-UA"/>
        </w:rPr>
        <w:t>Оброблені фрукти та овочі</w:t>
      </w:r>
      <w:r w:rsidR="00553BEE" w:rsidRPr="00620FB8">
        <w:rPr>
          <w:lang w:val="uk-UA"/>
        </w:rPr>
        <w:t>, згідно з вимогами Замовника торгів.</w:t>
      </w:r>
    </w:p>
    <w:p w:rsidR="00553BEE" w:rsidRDefault="00553BEE" w:rsidP="001C188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lastRenderedPageBreak/>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4F07B2" w:rsidRPr="000F49DC" w:rsidRDefault="00E47366" w:rsidP="004F07B2">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вказувати </w:t>
      </w:r>
      <w:r w:rsidR="004F07B2" w:rsidRPr="001D0ADB">
        <w:rPr>
          <w:rFonts w:eastAsia="Courier New"/>
          <w:bCs/>
          <w:color w:val="000000" w:themeColor="text1"/>
          <w:lang w:val="uk-UA"/>
        </w:rPr>
        <w:t>найменування</w:t>
      </w:r>
      <w:r w:rsidR="004F07B2" w:rsidRPr="001D0ADB">
        <w:t xml:space="preserve"> запропонованого учасником товару</w:t>
      </w:r>
      <w:r w:rsidR="004F07B2"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sidR="004F07B2">
        <w:rPr>
          <w:rFonts w:eastAsia="Courier New"/>
          <w:bCs/>
          <w:color w:val="000000" w:themeColor="text1"/>
          <w:lang w:val="uk-UA"/>
        </w:rPr>
        <w:t xml:space="preserve"> </w:t>
      </w:r>
      <w:r w:rsidR="004F07B2" w:rsidRPr="001D0ADB">
        <w:rPr>
          <w:rFonts w:eastAsia="Courier New"/>
          <w:bCs/>
          <w:color w:val="000000" w:themeColor="text1"/>
          <w:lang w:val="uk-UA"/>
        </w:rPr>
        <w:t>тендерної документації та переліку, наведеному у Додатку 3 цієї документації.</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EE35C0">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w:t>
      </w:r>
      <w:r w:rsidR="004158D0">
        <w:rPr>
          <w:lang w:val="uk-UA"/>
        </w:rPr>
        <w:t>иїв</w:t>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t>«___» _________ 2024</w:t>
      </w:r>
      <w:r>
        <w:rPr>
          <w:lang w:val="uk-UA"/>
        </w:rPr>
        <w:t xml:space="preserve">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sidR="00633079" w:rsidRPr="005B3F17">
        <w:rPr>
          <w:lang w:val="uk-UA"/>
        </w:rPr>
        <w:t>________________________</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w:t>
      </w:r>
      <w:r w:rsidR="00633079" w:rsidRPr="005B3F17">
        <w:rPr>
          <w:lang w:val="uk-UA"/>
        </w:rPr>
        <w:t>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1C1884" w:rsidRDefault="00553BEE" w:rsidP="00690CBD">
      <w:pPr>
        <w:jc w:val="both"/>
      </w:pPr>
      <w:r w:rsidRPr="00620FB8">
        <w:rPr>
          <w:color w:val="000000" w:themeColor="text1"/>
          <w:lang w:val="uk-UA"/>
        </w:rPr>
        <w:t xml:space="preserve">1.1. Продавець зобов’язується поставити </w:t>
      </w:r>
      <w:r w:rsidR="00690CBD" w:rsidRPr="00BC6393">
        <w:rPr>
          <w:color w:val="000000" w:themeColor="text1"/>
          <w:lang w:val="uk-UA"/>
        </w:rPr>
        <w:t xml:space="preserve">Код ДК 021:2015 - </w:t>
      </w:r>
      <w:r w:rsidR="00690CBD" w:rsidRPr="00BC6393">
        <w:rPr>
          <w:color w:val="000000" w:themeColor="text1"/>
        </w:rPr>
        <w:t>15330000-0</w:t>
      </w:r>
      <w:r w:rsidR="00690CBD" w:rsidRPr="00BC6393">
        <w:rPr>
          <w:rStyle w:val="apple-converted-space"/>
          <w:rFonts w:eastAsia="Calibri"/>
          <w:color w:val="000000" w:themeColor="text1"/>
          <w:shd w:val="clear" w:color="auto" w:fill="FDFEFD"/>
        </w:rPr>
        <w:t> </w:t>
      </w:r>
      <w:r w:rsidR="00690CBD" w:rsidRPr="00BC6393">
        <w:rPr>
          <w:color w:val="000000" w:themeColor="text1"/>
          <w:shd w:val="clear" w:color="auto" w:fill="FDFEFD"/>
        </w:rPr>
        <w:t>–</w:t>
      </w:r>
      <w:r w:rsidR="00690CBD" w:rsidRPr="00BC6393">
        <w:rPr>
          <w:rStyle w:val="apple-converted-space"/>
          <w:rFonts w:eastAsia="Calibri"/>
          <w:color w:val="000000" w:themeColor="text1"/>
          <w:shd w:val="clear" w:color="auto" w:fill="FDFEFD"/>
        </w:rPr>
        <w:t> </w:t>
      </w:r>
      <w:r w:rsidR="00690CBD" w:rsidRPr="00BC6393">
        <w:rPr>
          <w:color w:val="000000" w:themeColor="text1"/>
        </w:rPr>
        <w:t>Оброблені фрукти та овочі</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53BEE">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lastRenderedPageBreak/>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sidR="004158D0">
        <w:rPr>
          <w:lang w:val="uk-UA"/>
        </w:rPr>
        <w:t xml:space="preserve">24 </w:t>
      </w:r>
      <w:r w:rsidRPr="005B3F17">
        <w:t>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w:t>
      </w:r>
      <w:r w:rsidRPr="005B3F17">
        <w:rPr>
          <w:rFonts w:ascii="Times New Roman" w:hAnsi="Times New Roman"/>
          <w:noProof/>
          <w:sz w:val="24"/>
          <w:szCs w:val="24"/>
        </w:rPr>
        <w:lastRenderedPageBreak/>
        <w:t>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w:t>
      </w:r>
      <w:r w:rsidRPr="005B3F17">
        <w:rPr>
          <w:lang w:val="uk-UA"/>
        </w:rPr>
        <w:lastRenderedPageBreak/>
        <w:t xml:space="preserve">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2821EA">
        <w:rPr>
          <w:noProof/>
          <w:lang w:val="uk-UA"/>
        </w:rPr>
        <w:t>24</w:t>
      </w:r>
      <w:r>
        <w:rPr>
          <w:noProof/>
          <w:lang w:val="uk-UA"/>
        </w:rPr>
        <w:t>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lastRenderedPageBreak/>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633079" w:rsidRPr="001D3F4F" w:rsidRDefault="00633079" w:rsidP="00633079">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Default="00553BEE" w:rsidP="00906EB8">
            <w:pPr>
              <w:rPr>
                <w:bCs/>
                <w:lang w:val="uk-UA"/>
              </w:rPr>
            </w:pPr>
          </w:p>
          <w:p w:rsidR="002D57F5" w:rsidRPr="00690CBD" w:rsidRDefault="002D57F5" w:rsidP="00906EB8">
            <w:pPr>
              <w:rPr>
                <w:bCs/>
                <w:lang w:val="en-US"/>
              </w:rPr>
            </w:pPr>
          </w:p>
          <w:p w:rsidR="002D57F5" w:rsidRDefault="002D57F5" w:rsidP="00906EB8">
            <w:pPr>
              <w:rPr>
                <w:bCs/>
                <w:lang w:val="uk-UA"/>
              </w:rPr>
            </w:pPr>
          </w:p>
          <w:p w:rsidR="002D57F5" w:rsidRPr="00EE35C0" w:rsidRDefault="002D57F5" w:rsidP="00906EB8">
            <w:pPr>
              <w:rPr>
                <w:bCs/>
                <w:lang w:val="uk-UA"/>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4158D0">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EE35C0" w:rsidRDefault="00553BEE" w:rsidP="00EE35C0">
      <w:pPr>
        <w:tabs>
          <w:tab w:val="num" w:pos="360"/>
        </w:tabs>
        <w:rPr>
          <w:rStyle w:val="af1"/>
          <w:rFonts w:eastAsia="Courier New"/>
          <w:bCs/>
          <w:color w:val="auto"/>
          <w:u w:val="none"/>
          <w:lang w:val="uk-UA"/>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Pr="001A088F" w:rsidRDefault="00553BEE" w:rsidP="00553BEE">
            <w:pPr>
              <w:pStyle w:val="21"/>
              <w:spacing w:after="0" w:line="240" w:lineRule="auto"/>
              <w:rPr>
                <w:color w:val="000000" w:themeColor="text1"/>
              </w:rPr>
            </w:pPr>
          </w:p>
          <w:p w:rsidR="00553BEE" w:rsidRPr="002D57F5" w:rsidRDefault="00553BEE" w:rsidP="002D57F5">
            <w:pPr>
              <w:tabs>
                <w:tab w:val="left" w:pos="2006"/>
              </w:tabs>
              <w:rPr>
                <w:lang w:val="uk-UA"/>
              </w:rPr>
            </w:pPr>
            <w:r w:rsidRPr="001A088F">
              <w:rPr>
                <w:color w:val="000000" w:themeColor="text1"/>
              </w:rPr>
              <w:t xml:space="preserve">________________   </w:t>
            </w: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Default="00553BEE"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F4AB9" w:rsidRDefault="003F4AB9" w:rsidP="00906EB8">
            <w:pPr>
              <w:pStyle w:val="21"/>
              <w:spacing w:after="0" w:line="240" w:lineRule="auto"/>
              <w:rPr>
                <w:bCs/>
                <w:lang w:val="en-US"/>
              </w:rPr>
            </w:pPr>
          </w:p>
          <w:p w:rsidR="00690CBD" w:rsidRPr="00690CBD" w:rsidRDefault="00690CBD" w:rsidP="00906EB8">
            <w:pPr>
              <w:pStyle w:val="21"/>
              <w:spacing w:after="0" w:line="240" w:lineRule="auto"/>
              <w:rPr>
                <w:bCs/>
                <w:lang w:val="en-US"/>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217E86" w:rsidRDefault="00217E86" w:rsidP="00906EB8">
            <w:pPr>
              <w:pStyle w:val="21"/>
              <w:spacing w:after="0" w:line="240" w:lineRule="auto"/>
              <w:rPr>
                <w:bCs/>
                <w:lang w:val="uk-UA"/>
              </w:rPr>
            </w:pPr>
          </w:p>
          <w:p w:rsidR="003D3269" w:rsidRPr="001122F7" w:rsidRDefault="003D3269"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lastRenderedPageBreak/>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4158D0">
        <w:rPr>
          <w:rStyle w:val="af1"/>
          <w:rFonts w:eastAsia="Courier New"/>
          <w:bCs/>
          <w:color w:val="auto"/>
          <w:u w:val="none"/>
          <w:lang w:val="uk-UA"/>
        </w:rPr>
        <w:t>4</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pStyle w:val="21"/>
              <w:spacing w:after="0" w:line="240" w:lineRule="auto"/>
              <w:rPr>
                <w:bCs/>
                <w:color w:val="000000" w:themeColor="text1"/>
                <w:lang w:val="uk-UA"/>
              </w:rPr>
            </w:pPr>
          </w:p>
        </w:tc>
      </w:tr>
    </w:tbl>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690CBD" w:rsidRPr="00562D07" w:rsidRDefault="000C36D3" w:rsidP="00690CBD">
      <w:pPr>
        <w:ind w:firstLine="1134"/>
        <w:jc w:val="center"/>
        <w:rPr>
          <w:b/>
        </w:rPr>
      </w:pPr>
      <w:r w:rsidRPr="000C36D3">
        <w:rPr>
          <w:bCs/>
          <w:color w:val="000000" w:themeColor="text1"/>
          <w:lang w:val="uk-UA"/>
        </w:rPr>
        <w:t xml:space="preserve"> </w:t>
      </w:r>
      <w:r w:rsidR="00690CBD" w:rsidRPr="00562D07">
        <w:rPr>
          <w:b/>
          <w:color w:val="000000" w:themeColor="text1"/>
          <w:lang w:val="uk-UA"/>
        </w:rPr>
        <w:t xml:space="preserve">Код ДК 021:2015 - </w:t>
      </w:r>
      <w:r w:rsidR="00690CBD" w:rsidRPr="00562D07">
        <w:rPr>
          <w:b/>
          <w:color w:val="000000" w:themeColor="text1"/>
        </w:rPr>
        <w:t>15330000-0</w:t>
      </w:r>
      <w:r w:rsidR="00690CBD" w:rsidRPr="00562D07">
        <w:rPr>
          <w:rStyle w:val="apple-converted-space"/>
          <w:rFonts w:eastAsia="Calibri"/>
          <w:b/>
          <w:color w:val="000000" w:themeColor="text1"/>
          <w:shd w:val="clear" w:color="auto" w:fill="FDFEFD"/>
        </w:rPr>
        <w:t> </w:t>
      </w:r>
      <w:r w:rsidR="00690CBD" w:rsidRPr="00562D07">
        <w:rPr>
          <w:b/>
          <w:color w:val="000000" w:themeColor="text1"/>
          <w:shd w:val="clear" w:color="auto" w:fill="FDFEFD"/>
        </w:rPr>
        <w:t>–</w:t>
      </w:r>
      <w:r w:rsidR="00690CBD" w:rsidRPr="00562D07">
        <w:rPr>
          <w:rStyle w:val="apple-converted-space"/>
          <w:rFonts w:eastAsia="Calibri"/>
          <w:b/>
          <w:color w:val="000000" w:themeColor="text1"/>
          <w:shd w:val="clear" w:color="auto" w:fill="FDFEFD"/>
        </w:rPr>
        <w:t> </w:t>
      </w:r>
      <w:r w:rsidR="00690CBD" w:rsidRPr="00562D07">
        <w:rPr>
          <w:b/>
          <w:color w:val="000000" w:themeColor="text1"/>
        </w:rPr>
        <w:t>Оброблені фрукти та овочі</w:t>
      </w:r>
      <w:r w:rsidR="00690CBD" w:rsidRPr="00562D07">
        <w:rPr>
          <w:b/>
          <w:color w:val="000000" w:themeColor="text1"/>
          <w:lang w:val="uk-UA"/>
        </w:rPr>
        <w:t>.</w:t>
      </w:r>
    </w:p>
    <w:p w:rsidR="000C36D3" w:rsidRPr="004B40C4" w:rsidRDefault="000C36D3" w:rsidP="000C36D3">
      <w:pPr>
        <w:rPr>
          <w:color w:val="000000" w:themeColor="text1"/>
        </w:rPr>
      </w:pPr>
    </w:p>
    <w:p w:rsidR="00562D07" w:rsidRDefault="00562D07" w:rsidP="00562D07">
      <w:pPr>
        <w:rPr>
          <w:color w:val="000000" w:themeColor="text1"/>
          <w:lang w:val="uk-UA"/>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701"/>
        <w:gridCol w:w="2410"/>
      </w:tblGrid>
      <w:tr w:rsidR="00562D07" w:rsidRPr="00F65413" w:rsidTr="002B279F">
        <w:trPr>
          <w:cantSplit/>
        </w:trPr>
        <w:tc>
          <w:tcPr>
            <w:tcW w:w="425" w:type="dxa"/>
          </w:tcPr>
          <w:p w:rsidR="00562D07" w:rsidRPr="00F65413" w:rsidRDefault="00562D07" w:rsidP="002B279F">
            <w:pPr>
              <w:ind w:left="-27" w:right="-135"/>
              <w:rPr>
                <w:bCs/>
                <w:lang w:val="uk-UA"/>
              </w:rPr>
            </w:pPr>
            <w:r w:rsidRPr="00F65413">
              <w:rPr>
                <w:bCs/>
                <w:lang w:val="uk-UA"/>
              </w:rPr>
              <w:t xml:space="preserve">№ </w:t>
            </w:r>
          </w:p>
        </w:tc>
        <w:tc>
          <w:tcPr>
            <w:tcW w:w="3686" w:type="dxa"/>
          </w:tcPr>
          <w:p w:rsidR="00562D07" w:rsidRPr="00F65413" w:rsidRDefault="00562D07" w:rsidP="002B279F">
            <w:pPr>
              <w:jc w:val="center"/>
              <w:rPr>
                <w:bCs/>
                <w:lang w:val="uk-UA"/>
              </w:rPr>
            </w:pPr>
            <w:r w:rsidRPr="00F65413">
              <w:rPr>
                <w:bCs/>
                <w:lang w:val="uk-UA"/>
              </w:rPr>
              <w:t>Найменування</w:t>
            </w:r>
            <w:r>
              <w:rPr>
                <w:bCs/>
                <w:lang w:val="uk-UA"/>
              </w:rPr>
              <w:t>*</w:t>
            </w:r>
          </w:p>
        </w:tc>
        <w:tc>
          <w:tcPr>
            <w:tcW w:w="1701" w:type="dxa"/>
          </w:tcPr>
          <w:p w:rsidR="00562D07" w:rsidRPr="00F65413" w:rsidRDefault="00562D07" w:rsidP="002B279F">
            <w:pPr>
              <w:jc w:val="center"/>
              <w:rPr>
                <w:bCs/>
                <w:lang w:val="uk-UA"/>
              </w:rPr>
            </w:pPr>
            <w:r w:rsidRPr="00F65413">
              <w:rPr>
                <w:bCs/>
                <w:lang w:val="uk-UA"/>
              </w:rPr>
              <w:t>Одиниця виміру</w:t>
            </w:r>
          </w:p>
        </w:tc>
        <w:tc>
          <w:tcPr>
            <w:tcW w:w="2410" w:type="dxa"/>
          </w:tcPr>
          <w:p w:rsidR="00562D07" w:rsidRPr="00F65413" w:rsidRDefault="00562D07" w:rsidP="002B279F">
            <w:pPr>
              <w:jc w:val="center"/>
              <w:rPr>
                <w:bCs/>
                <w:lang w:val="uk-UA"/>
              </w:rPr>
            </w:pPr>
            <w:r w:rsidRPr="00F65413">
              <w:rPr>
                <w:bCs/>
                <w:lang w:val="uk-UA"/>
              </w:rPr>
              <w:t>Кількість</w:t>
            </w:r>
          </w:p>
        </w:tc>
      </w:tr>
      <w:tr w:rsidR="00562D07" w:rsidRPr="00F65413" w:rsidTr="002B279F">
        <w:trPr>
          <w:cantSplit/>
        </w:trPr>
        <w:tc>
          <w:tcPr>
            <w:tcW w:w="425" w:type="dxa"/>
          </w:tcPr>
          <w:p w:rsidR="00562D07" w:rsidRPr="00903EF2" w:rsidRDefault="00562D07" w:rsidP="002B279F">
            <w:pPr>
              <w:ind w:left="-27" w:right="-135"/>
              <w:jc w:val="center"/>
              <w:rPr>
                <w:bCs/>
                <w:lang w:val="en-US"/>
              </w:rPr>
            </w:pPr>
            <w:r>
              <w:rPr>
                <w:bCs/>
                <w:lang w:val="en-US"/>
              </w:rPr>
              <w:t>1</w:t>
            </w:r>
          </w:p>
        </w:tc>
        <w:tc>
          <w:tcPr>
            <w:tcW w:w="3686" w:type="dxa"/>
          </w:tcPr>
          <w:p w:rsidR="00562D07" w:rsidRPr="00932408" w:rsidRDefault="00562D07" w:rsidP="002B279F">
            <w:pPr>
              <w:rPr>
                <w:bCs/>
                <w:lang w:val="uk-UA"/>
              </w:rPr>
            </w:pPr>
            <w:r w:rsidRPr="0025384B">
              <w:t>Томатна паста</w:t>
            </w:r>
            <w:r>
              <w:rPr>
                <w:lang w:val="uk-UA"/>
              </w:rPr>
              <w:t>,</w:t>
            </w:r>
            <w:r w:rsidRPr="0025384B">
              <w:t xml:space="preserve"> 25%</w:t>
            </w:r>
          </w:p>
        </w:tc>
        <w:tc>
          <w:tcPr>
            <w:tcW w:w="1701" w:type="dxa"/>
            <w:vAlign w:val="center"/>
          </w:tcPr>
          <w:p w:rsidR="00562D07" w:rsidRPr="00C57540" w:rsidRDefault="00562D07" w:rsidP="002B279F">
            <w:pPr>
              <w:jc w:val="center"/>
              <w:rPr>
                <w:lang w:val="uk-UA"/>
              </w:rPr>
            </w:pPr>
            <w:r>
              <w:rPr>
                <w:lang w:val="uk-UA"/>
              </w:rPr>
              <w:t>кг</w:t>
            </w:r>
            <w:r w:rsidRPr="00C57540">
              <w:rPr>
                <w:lang w:val="uk-UA"/>
              </w:rPr>
              <w:t>.</w:t>
            </w:r>
          </w:p>
        </w:tc>
        <w:tc>
          <w:tcPr>
            <w:tcW w:w="2410" w:type="dxa"/>
          </w:tcPr>
          <w:p w:rsidR="00562D07" w:rsidRPr="00903EF2" w:rsidRDefault="00562D07" w:rsidP="002B279F">
            <w:pPr>
              <w:jc w:val="center"/>
              <w:rPr>
                <w:bCs/>
                <w:lang w:val="en-US"/>
              </w:rPr>
            </w:pPr>
            <w:r>
              <w:rPr>
                <w:bCs/>
                <w:lang w:val="uk-UA"/>
              </w:rPr>
              <w:t>1350</w:t>
            </w:r>
          </w:p>
        </w:tc>
      </w:tr>
    </w:tbl>
    <w:p w:rsidR="00562D07" w:rsidRDefault="00562D07" w:rsidP="00562D07">
      <w:pPr>
        <w:rPr>
          <w:rStyle w:val="af9"/>
          <w:i w:val="0"/>
          <w:color w:val="000000" w:themeColor="text1"/>
          <w:lang w:val="uk-UA"/>
        </w:rPr>
      </w:pPr>
    </w:p>
    <w:p w:rsidR="00562D07" w:rsidRPr="002C3ACE" w:rsidRDefault="00562D07" w:rsidP="00562D07">
      <w:pPr>
        <w:pStyle w:val="aa"/>
        <w:shd w:val="clear" w:color="auto" w:fill="FFFFFF"/>
        <w:tabs>
          <w:tab w:val="left" w:pos="6379"/>
        </w:tabs>
        <w:ind w:left="0"/>
        <w:jc w:val="both"/>
        <w:rPr>
          <w:color w:val="000000" w:themeColor="text1"/>
          <w:lang w:val="uk-UA"/>
        </w:rPr>
      </w:pPr>
    </w:p>
    <w:p w:rsidR="00562D07" w:rsidRPr="006421A3" w:rsidRDefault="00562D07" w:rsidP="00562D07">
      <w:pPr>
        <w:ind w:firstLine="567"/>
        <w:jc w:val="both"/>
        <w:rPr>
          <w:color w:val="000000" w:themeColor="text1"/>
        </w:rPr>
      </w:pPr>
      <w:r w:rsidRPr="00932408">
        <w:rPr>
          <w:lang w:val="uk-UA" w:eastAsia="ar-SA"/>
        </w:rPr>
        <w:t xml:space="preserve">   </w:t>
      </w:r>
      <w:r w:rsidRPr="00932408">
        <w:rPr>
          <w:color w:val="000000" w:themeColor="text1"/>
          <w:lang w:val="uk-UA" w:eastAsia="ar-SA"/>
        </w:rPr>
        <w:t xml:space="preserve">* </w:t>
      </w:r>
      <w:r w:rsidRPr="0025384B">
        <w:rPr>
          <w:b/>
        </w:rPr>
        <w:t>Томатна паста 25%.</w:t>
      </w:r>
      <w:r w:rsidRPr="0025384B">
        <w:t xml:space="preserve"> </w:t>
      </w:r>
      <w:r w:rsidRPr="006421A3">
        <w:rPr>
          <w:color w:val="000000" w:themeColor="text1"/>
        </w:rPr>
        <w:t xml:space="preserve">Відповідність предмета закупівлі - </w:t>
      </w:r>
      <w:r w:rsidRPr="006421A3">
        <w:rPr>
          <w:color w:val="000000" w:themeColor="text1"/>
          <w:lang w:eastAsia="uk-UA"/>
        </w:rPr>
        <w:t>ДСТУ 5081:2008.</w:t>
      </w:r>
    </w:p>
    <w:p w:rsidR="00562D07" w:rsidRPr="006421A3" w:rsidRDefault="00562D07" w:rsidP="00562D07">
      <w:pPr>
        <w:ind w:firstLine="567"/>
        <w:jc w:val="both"/>
        <w:rPr>
          <w:color w:val="000000" w:themeColor="text1"/>
          <w:spacing w:val="2"/>
          <w:shd w:val="clear" w:color="auto" w:fill="FFFFFF"/>
          <w:lang w:eastAsia="uk-UA"/>
        </w:rPr>
      </w:pPr>
      <w:r>
        <w:rPr>
          <w:color w:val="000000" w:themeColor="text1"/>
          <w:spacing w:val="2"/>
          <w:shd w:val="clear" w:color="auto" w:fill="FFFFFF"/>
          <w:lang w:eastAsia="uk-UA"/>
        </w:rPr>
        <w:t xml:space="preserve">Вищого або 1 </w:t>
      </w:r>
      <w:r>
        <w:rPr>
          <w:color w:val="000000" w:themeColor="text1"/>
          <w:spacing w:val="2"/>
          <w:shd w:val="clear" w:color="auto" w:fill="FFFFFF"/>
          <w:lang w:val="uk-UA" w:eastAsia="uk-UA"/>
        </w:rPr>
        <w:t>гатунку</w:t>
      </w:r>
      <w:r w:rsidRPr="006421A3">
        <w:rPr>
          <w:color w:val="000000" w:themeColor="text1"/>
          <w:spacing w:val="2"/>
          <w:shd w:val="clear" w:color="auto" w:fill="FFFFFF"/>
          <w:lang w:eastAsia="uk-UA"/>
        </w:rPr>
        <w:t>. Зовнішній вигляд та консистенція - однорідна концентрована маса від напіврідкої до мазкої консистенції без темного вкраплення, наявності шкірок, насіння та інших грубих часток плодів</w:t>
      </w:r>
      <w:r w:rsidRPr="006421A3">
        <w:rPr>
          <w:color w:val="000000" w:themeColor="text1"/>
          <w:lang w:eastAsia="uk-UA"/>
        </w:rPr>
        <w:t xml:space="preserve">. </w:t>
      </w:r>
      <w:r w:rsidRPr="006421A3">
        <w:rPr>
          <w:color w:val="000000" w:themeColor="text1"/>
          <w:shd w:val="clear" w:color="auto" w:fill="FFFFFF"/>
          <w:lang w:eastAsia="uk-UA"/>
        </w:rPr>
        <w:t xml:space="preserve">Смак і запах повинні бути властивими концентрованій томатній масі, без гіркоти, пригару і інших сторонніх присмаків і запахів. Заборонено використовувати у виробництві томатних продуктів томатів генетично - модифікованих сортів. Масова частка розчинних сухих речовин 23-27%. </w:t>
      </w:r>
      <w:r w:rsidRPr="006421A3">
        <w:rPr>
          <w:color w:val="000000" w:themeColor="text1"/>
          <w:spacing w:val="2"/>
          <w:shd w:val="clear" w:color="auto" w:fill="FFFFFF"/>
          <w:lang w:eastAsia="uk-UA"/>
        </w:rPr>
        <w:t>Колір - червоний, оранжево-червовий або темно-червоний, однорідний за всією масою. Допуска</w:t>
      </w:r>
      <w:r w:rsidRPr="006421A3">
        <w:rPr>
          <w:color w:val="000000" w:themeColor="text1"/>
          <w:spacing w:val="2"/>
          <w:shd w:val="clear" w:color="auto" w:fill="FFFFFF"/>
          <w:lang w:val="uk-UA" w:eastAsia="uk-UA"/>
        </w:rPr>
        <w:t>е</w:t>
      </w:r>
      <w:r w:rsidRPr="006421A3">
        <w:rPr>
          <w:color w:val="000000" w:themeColor="text1"/>
          <w:spacing w:val="2"/>
          <w:shd w:val="clear" w:color="auto" w:fill="FFFFFF"/>
          <w:lang w:eastAsia="uk-UA"/>
        </w:rPr>
        <w:t>ться слабо-коричневий або буруватий відтінок.</w:t>
      </w:r>
    </w:p>
    <w:p w:rsidR="00562D07" w:rsidRPr="00562D07" w:rsidRDefault="00562D07" w:rsidP="00562D07">
      <w:pPr>
        <w:ind w:firstLine="567"/>
        <w:jc w:val="both"/>
        <w:rPr>
          <w:color w:val="000000" w:themeColor="text1"/>
        </w:rPr>
      </w:pPr>
      <w:r w:rsidRPr="00562D07">
        <w:rPr>
          <w:color w:val="000000" w:themeColor="text1"/>
        </w:rPr>
        <w:t>Товарна упаковка</w:t>
      </w:r>
      <w:r w:rsidRPr="00562D07">
        <w:rPr>
          <w:color w:val="000000" w:themeColor="text1"/>
          <w:spacing w:val="2"/>
          <w:shd w:val="clear" w:color="auto" w:fill="FFFFFF"/>
          <w:lang w:eastAsia="uk-UA"/>
        </w:rPr>
        <w:t xml:space="preserve"> - скляні банки по </w:t>
      </w:r>
      <w:r w:rsidRPr="00562D07">
        <w:rPr>
          <w:color w:val="000000" w:themeColor="text1"/>
          <w:lang w:eastAsia="uk-UA"/>
        </w:rPr>
        <w:t>ДСТУ 5081:2008</w:t>
      </w:r>
      <w:r w:rsidRPr="00562D07">
        <w:rPr>
          <w:color w:val="000000" w:themeColor="text1"/>
          <w:spacing w:val="2"/>
          <w:shd w:val="clear" w:color="auto" w:fill="FFFFFF"/>
          <w:lang w:eastAsia="uk-UA"/>
        </w:rPr>
        <w:t>, місткістю не більш 1,0 дм</w:t>
      </w:r>
      <w:r w:rsidRPr="00562D07">
        <w:rPr>
          <w:color w:val="000000" w:themeColor="text1"/>
          <w:spacing w:val="2"/>
          <w:shd w:val="clear" w:color="auto" w:fill="FFFFFF"/>
          <w:vertAlign w:val="superscript"/>
          <w:lang w:eastAsia="uk-UA"/>
        </w:rPr>
        <w:t>3</w:t>
      </w:r>
      <w:r w:rsidRPr="00562D07">
        <w:rPr>
          <w:color w:val="000000" w:themeColor="text1"/>
          <w:spacing w:val="2"/>
          <w:shd w:val="clear" w:color="auto" w:fill="FFFFFF"/>
          <w:lang w:eastAsia="uk-UA"/>
        </w:rPr>
        <w:t>.</w:t>
      </w:r>
    </w:p>
    <w:p w:rsidR="00562D07" w:rsidRPr="0025384B" w:rsidRDefault="00562D07" w:rsidP="00562D07">
      <w:pPr>
        <w:ind w:firstLine="567"/>
        <w:jc w:val="both"/>
      </w:pPr>
      <w:r w:rsidRPr="0025384B">
        <w:t xml:space="preserve">Якість, тара, упаковка повинні відповідати </w:t>
      </w:r>
      <w:r w:rsidRPr="0025384B">
        <w:rPr>
          <w:lang w:eastAsia="uk-UA"/>
        </w:rPr>
        <w:t>ДСТУ 5081:2008.</w:t>
      </w:r>
      <w:r w:rsidRPr="0025384B">
        <w:t xml:space="preserve"> Товар повинен мати залишковий термін придатності не менше 75% від передбаченого ДСТУ строку зберігання товару.</w:t>
      </w:r>
    </w:p>
    <w:p w:rsidR="00562D07" w:rsidRPr="0025384B" w:rsidRDefault="00562D07" w:rsidP="00562D07">
      <w:pPr>
        <w:rPr>
          <w:color w:val="000000" w:themeColor="text1"/>
          <w:lang w:eastAsia="ar-SA"/>
        </w:rPr>
      </w:pPr>
    </w:p>
    <w:p w:rsidR="00690CBD" w:rsidRPr="003D58E5" w:rsidRDefault="00690CBD" w:rsidP="00690CBD">
      <w:pPr>
        <w:ind w:firstLine="284"/>
        <w:rPr>
          <w:lang w:eastAsia="ar-SA"/>
        </w:rPr>
      </w:pPr>
    </w:p>
    <w:p w:rsidR="002F2654" w:rsidRPr="002D57F5" w:rsidRDefault="00217E86" w:rsidP="002D57F5">
      <w:pPr>
        <w:ind w:firstLine="567"/>
        <w:jc w:val="both"/>
        <w:rPr>
          <w:u w:val="single"/>
          <w:lang w:val="uk-UA"/>
        </w:rPr>
      </w:pPr>
      <w:r w:rsidRPr="00F37DB7">
        <w:rPr>
          <w:color w:val="000000" w:themeColor="text1"/>
        </w:rPr>
        <w:t xml:space="preserve">   </w:t>
      </w:r>
    </w:p>
    <w:p w:rsidR="002F2654" w:rsidRDefault="002F2654" w:rsidP="00EF754E">
      <w:pPr>
        <w:jc w:val="both"/>
        <w:rPr>
          <w:lang w:val="uk-UA"/>
        </w:rPr>
      </w:pPr>
    </w:p>
    <w:p w:rsidR="00562D07" w:rsidRDefault="00562D07" w:rsidP="00EF754E">
      <w:pPr>
        <w:jc w:val="both"/>
        <w:rPr>
          <w:lang w:val="uk-UA"/>
        </w:rPr>
      </w:pPr>
    </w:p>
    <w:p w:rsidR="00562D07" w:rsidRDefault="00562D07" w:rsidP="00EF754E">
      <w:pPr>
        <w:jc w:val="both"/>
        <w:rPr>
          <w:lang w:val="uk-UA"/>
        </w:rPr>
      </w:pPr>
    </w:p>
    <w:p w:rsidR="00562D07" w:rsidRPr="00562D07" w:rsidRDefault="00562D07" w:rsidP="00EF754E">
      <w:pPr>
        <w:jc w:val="both"/>
        <w:rPr>
          <w:lang w:val="uk-UA"/>
        </w:rPr>
      </w:pPr>
    </w:p>
    <w:p w:rsidR="00690CBD" w:rsidRPr="004B40C4" w:rsidRDefault="00690CBD" w:rsidP="00EF754E">
      <w:pPr>
        <w:jc w:val="both"/>
      </w:pPr>
    </w:p>
    <w:p w:rsidR="002F2654" w:rsidRPr="00E942F6" w:rsidRDefault="002F265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lastRenderedPageBreak/>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690CBD" w:rsidRPr="00690CBD" w:rsidRDefault="00690CBD" w:rsidP="00A34E70">
      <w:pPr>
        <w:tabs>
          <w:tab w:val="num" w:pos="360"/>
        </w:tabs>
        <w:rPr>
          <w:rStyle w:val="af1"/>
          <w:rFonts w:eastAsia="Courier New"/>
          <w:b/>
          <w:bCs/>
          <w:color w:val="auto"/>
          <w:lang w:val="en-US"/>
        </w:rPr>
      </w:pPr>
    </w:p>
    <w:p w:rsidR="00690CBD" w:rsidRDefault="00690CBD" w:rsidP="00A34E70">
      <w:pPr>
        <w:tabs>
          <w:tab w:val="num" w:pos="360"/>
        </w:tabs>
        <w:rPr>
          <w:rStyle w:val="af1"/>
          <w:rFonts w:eastAsia="Courier New"/>
          <w:b/>
          <w:bCs/>
          <w:color w:val="auto"/>
          <w:lang w:val="en-US"/>
        </w:rPr>
      </w:pPr>
    </w:p>
    <w:p w:rsidR="00690CBD" w:rsidRPr="00690CBD" w:rsidRDefault="00690CBD" w:rsidP="00A34E70">
      <w:pPr>
        <w:tabs>
          <w:tab w:val="num" w:pos="360"/>
        </w:tabs>
        <w:rPr>
          <w:rStyle w:val="af1"/>
          <w:rFonts w:eastAsia="Courier New"/>
          <w:b/>
          <w:bCs/>
          <w:color w:val="auto"/>
          <w:lang w:val="en-US"/>
        </w:rPr>
      </w:pPr>
    </w:p>
    <w:p w:rsidR="003D3269" w:rsidRDefault="003D3269"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15CFD" w:rsidRPr="00EE35C0" w:rsidRDefault="00A34E70" w:rsidP="00EE35C0">
      <w:pPr>
        <w:jc w:val="both"/>
        <w:rPr>
          <w:lang w:val="uk-UA"/>
        </w:rPr>
      </w:pPr>
      <w:r>
        <w:rPr>
          <w:lang w:val="uk-UA"/>
        </w:rPr>
        <w:t xml:space="preserve"> </w:t>
      </w:r>
    </w:p>
    <w:p w:rsidR="00CC7CBC" w:rsidRDefault="00CC7CBC" w:rsidP="00A34E70">
      <w:pPr>
        <w:jc w:val="right"/>
        <w:rPr>
          <w:b/>
          <w:lang w:val="en-US"/>
        </w:rPr>
      </w:pPr>
    </w:p>
    <w:p w:rsidR="00690CBD" w:rsidRDefault="00690CBD" w:rsidP="00A34E70">
      <w:pPr>
        <w:jc w:val="right"/>
        <w:rPr>
          <w:b/>
          <w:lang w:val="en-US"/>
        </w:rPr>
      </w:pPr>
    </w:p>
    <w:p w:rsidR="00690CBD" w:rsidRDefault="00690CBD" w:rsidP="00A34E70">
      <w:pPr>
        <w:jc w:val="right"/>
        <w:rPr>
          <w:b/>
          <w:lang w:val="en-US"/>
        </w:rPr>
      </w:pPr>
    </w:p>
    <w:p w:rsidR="00690CBD" w:rsidRPr="00690CBD" w:rsidRDefault="00690CBD" w:rsidP="00A34E70">
      <w:pPr>
        <w:jc w:val="right"/>
        <w:rPr>
          <w:b/>
          <w:lang w:val="en-US"/>
        </w:rPr>
      </w:pPr>
    </w:p>
    <w:p w:rsidR="00A21957" w:rsidRDefault="00A21957">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690CBD" w:rsidRDefault="000E29F1" w:rsidP="00690CBD">
      <w:pPr>
        <w:ind w:firstLine="1134"/>
        <w:jc w:val="center"/>
      </w:pPr>
      <w:r w:rsidRPr="002F2654">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F2654">
        <w:rPr>
          <w:color w:val="000000" w:themeColor="text1"/>
          <w:lang w:val="uk-UA"/>
        </w:rPr>
        <w:t xml:space="preserve"> </w:t>
      </w:r>
      <w:r w:rsidR="00690CBD" w:rsidRPr="00BC6393">
        <w:rPr>
          <w:color w:val="000000" w:themeColor="text1"/>
          <w:lang w:val="uk-UA"/>
        </w:rPr>
        <w:t xml:space="preserve">Код ДК 021:2015 - </w:t>
      </w:r>
      <w:r w:rsidR="00690CBD" w:rsidRPr="00BC6393">
        <w:rPr>
          <w:color w:val="000000" w:themeColor="text1"/>
        </w:rPr>
        <w:t>15330000-0</w:t>
      </w:r>
      <w:r w:rsidR="00690CBD" w:rsidRPr="00BC6393">
        <w:rPr>
          <w:rStyle w:val="apple-converted-space"/>
          <w:rFonts w:eastAsia="Calibri"/>
          <w:color w:val="000000" w:themeColor="text1"/>
          <w:shd w:val="clear" w:color="auto" w:fill="FDFEFD"/>
        </w:rPr>
        <w:t> </w:t>
      </w:r>
      <w:r w:rsidR="00690CBD" w:rsidRPr="00BC6393">
        <w:rPr>
          <w:color w:val="000000" w:themeColor="text1"/>
          <w:shd w:val="clear" w:color="auto" w:fill="FDFEFD"/>
        </w:rPr>
        <w:t>–</w:t>
      </w:r>
      <w:r w:rsidR="00690CBD" w:rsidRPr="00BC6393">
        <w:rPr>
          <w:rStyle w:val="apple-converted-space"/>
          <w:rFonts w:eastAsia="Calibri"/>
          <w:color w:val="000000" w:themeColor="text1"/>
          <w:shd w:val="clear" w:color="auto" w:fill="FDFEFD"/>
        </w:rPr>
        <w:t> </w:t>
      </w:r>
      <w:r w:rsidR="00690CBD" w:rsidRPr="00BC6393">
        <w:rPr>
          <w:color w:val="000000" w:themeColor="text1"/>
        </w:rPr>
        <w:t>Оброблені фрукти та овочі</w:t>
      </w:r>
      <w:r w:rsidR="00B77C99" w:rsidRPr="002F2654">
        <w:rPr>
          <w:color w:val="000000" w:themeColor="text1"/>
          <w:lang w:val="uk-UA"/>
        </w:rPr>
        <w:t xml:space="preserve">, </w:t>
      </w:r>
      <w:r w:rsidRPr="002F2654">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8"/>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EC9" w:rsidRDefault="00BC0EC9" w:rsidP="00AA7584">
      <w:r>
        <w:separator/>
      </w:r>
    </w:p>
  </w:endnote>
  <w:endnote w:type="continuationSeparator" w:id="1">
    <w:p w:rsidR="00BC0EC9" w:rsidRDefault="00BC0EC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EC9" w:rsidRDefault="00BC0EC9" w:rsidP="00AA7584">
      <w:r>
        <w:separator/>
      </w:r>
    </w:p>
  </w:footnote>
  <w:footnote w:type="continuationSeparator" w:id="1">
    <w:p w:rsidR="00BC0EC9" w:rsidRDefault="00BC0EC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D3" w:rsidRDefault="00806B5F">
    <w:pPr>
      <w:pStyle w:val="a6"/>
      <w:jc w:val="center"/>
    </w:pPr>
    <w:fldSimple w:instr=" PAGE   \* MERGEFORMAT ">
      <w:r w:rsidR="00562D07">
        <w:rPr>
          <w:noProof/>
        </w:rPr>
        <w:t>29</w:t>
      </w:r>
    </w:fldSimple>
  </w:p>
  <w:p w:rsidR="000C36D3" w:rsidRDefault="000C36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6B80"/>
    <w:rsid w:val="00047CD5"/>
    <w:rsid w:val="00051991"/>
    <w:rsid w:val="00052416"/>
    <w:rsid w:val="000525B2"/>
    <w:rsid w:val="000553C9"/>
    <w:rsid w:val="000554D6"/>
    <w:rsid w:val="0005574F"/>
    <w:rsid w:val="00060192"/>
    <w:rsid w:val="000602F8"/>
    <w:rsid w:val="0006185E"/>
    <w:rsid w:val="00064D5A"/>
    <w:rsid w:val="000657D7"/>
    <w:rsid w:val="000665EB"/>
    <w:rsid w:val="0006724C"/>
    <w:rsid w:val="0007139D"/>
    <w:rsid w:val="00071BF3"/>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C36D3"/>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0A67"/>
    <w:rsid w:val="001012A0"/>
    <w:rsid w:val="001036A6"/>
    <w:rsid w:val="00103FB2"/>
    <w:rsid w:val="001048AC"/>
    <w:rsid w:val="001055B4"/>
    <w:rsid w:val="00107187"/>
    <w:rsid w:val="0010736C"/>
    <w:rsid w:val="0011077C"/>
    <w:rsid w:val="00112450"/>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884"/>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28C4"/>
    <w:rsid w:val="0020356B"/>
    <w:rsid w:val="00204B2B"/>
    <w:rsid w:val="0020650C"/>
    <w:rsid w:val="0020712D"/>
    <w:rsid w:val="00210906"/>
    <w:rsid w:val="00210F58"/>
    <w:rsid w:val="002152FE"/>
    <w:rsid w:val="00215685"/>
    <w:rsid w:val="00215A91"/>
    <w:rsid w:val="002167B4"/>
    <w:rsid w:val="00217E86"/>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21EA"/>
    <w:rsid w:val="00283C33"/>
    <w:rsid w:val="00284C35"/>
    <w:rsid w:val="00286786"/>
    <w:rsid w:val="00286EF5"/>
    <w:rsid w:val="00287BA0"/>
    <w:rsid w:val="0029097C"/>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7F5"/>
    <w:rsid w:val="002D5D89"/>
    <w:rsid w:val="002D5DBF"/>
    <w:rsid w:val="002E1042"/>
    <w:rsid w:val="002E11A4"/>
    <w:rsid w:val="002E155D"/>
    <w:rsid w:val="002E19B6"/>
    <w:rsid w:val="002E2D3E"/>
    <w:rsid w:val="002E547D"/>
    <w:rsid w:val="002E719C"/>
    <w:rsid w:val="002E748E"/>
    <w:rsid w:val="002F1DD0"/>
    <w:rsid w:val="002F1F22"/>
    <w:rsid w:val="002F239E"/>
    <w:rsid w:val="002F2654"/>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212"/>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269"/>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4AB9"/>
    <w:rsid w:val="003F6D75"/>
    <w:rsid w:val="00400C9B"/>
    <w:rsid w:val="004017B6"/>
    <w:rsid w:val="00401F8E"/>
    <w:rsid w:val="00403945"/>
    <w:rsid w:val="00403EF6"/>
    <w:rsid w:val="00404890"/>
    <w:rsid w:val="004052C8"/>
    <w:rsid w:val="00405E8C"/>
    <w:rsid w:val="004106CB"/>
    <w:rsid w:val="0041293F"/>
    <w:rsid w:val="00412DCA"/>
    <w:rsid w:val="004158D0"/>
    <w:rsid w:val="004163F3"/>
    <w:rsid w:val="0041674B"/>
    <w:rsid w:val="00420912"/>
    <w:rsid w:val="004252A9"/>
    <w:rsid w:val="00425CA4"/>
    <w:rsid w:val="004305D8"/>
    <w:rsid w:val="004306C5"/>
    <w:rsid w:val="0043130D"/>
    <w:rsid w:val="00434420"/>
    <w:rsid w:val="0043664C"/>
    <w:rsid w:val="00437E5E"/>
    <w:rsid w:val="00440EC9"/>
    <w:rsid w:val="0044191E"/>
    <w:rsid w:val="0044372D"/>
    <w:rsid w:val="00443949"/>
    <w:rsid w:val="00444CD6"/>
    <w:rsid w:val="0044524C"/>
    <w:rsid w:val="004456CA"/>
    <w:rsid w:val="00445832"/>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0364"/>
    <w:rsid w:val="004A1635"/>
    <w:rsid w:val="004A1718"/>
    <w:rsid w:val="004A21DC"/>
    <w:rsid w:val="004A23A5"/>
    <w:rsid w:val="004A3382"/>
    <w:rsid w:val="004A4821"/>
    <w:rsid w:val="004A59DF"/>
    <w:rsid w:val="004A5B9B"/>
    <w:rsid w:val="004A7721"/>
    <w:rsid w:val="004A7E07"/>
    <w:rsid w:val="004B23FE"/>
    <w:rsid w:val="004B40C4"/>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2D07"/>
    <w:rsid w:val="00566E8F"/>
    <w:rsid w:val="005676F1"/>
    <w:rsid w:val="00567C8E"/>
    <w:rsid w:val="005703E4"/>
    <w:rsid w:val="005711D2"/>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E076F"/>
    <w:rsid w:val="005E0A48"/>
    <w:rsid w:val="005E13EB"/>
    <w:rsid w:val="005E3D30"/>
    <w:rsid w:val="005F26DA"/>
    <w:rsid w:val="005F3143"/>
    <w:rsid w:val="005F4D74"/>
    <w:rsid w:val="006047C4"/>
    <w:rsid w:val="00606015"/>
    <w:rsid w:val="00607715"/>
    <w:rsid w:val="00610149"/>
    <w:rsid w:val="006109C1"/>
    <w:rsid w:val="00611EE9"/>
    <w:rsid w:val="00612CFC"/>
    <w:rsid w:val="006139FF"/>
    <w:rsid w:val="00620508"/>
    <w:rsid w:val="00620D58"/>
    <w:rsid w:val="00620FB8"/>
    <w:rsid w:val="00621E0D"/>
    <w:rsid w:val="00623E12"/>
    <w:rsid w:val="00626D7E"/>
    <w:rsid w:val="00627B5E"/>
    <w:rsid w:val="00627E0B"/>
    <w:rsid w:val="00632914"/>
    <w:rsid w:val="00633079"/>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0CBD"/>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845"/>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B6F58"/>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6B5F"/>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64DC"/>
    <w:rsid w:val="008E74EB"/>
    <w:rsid w:val="008F2E26"/>
    <w:rsid w:val="008F402F"/>
    <w:rsid w:val="008F5DF5"/>
    <w:rsid w:val="00903EF2"/>
    <w:rsid w:val="00904251"/>
    <w:rsid w:val="00906125"/>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15C9"/>
    <w:rsid w:val="0099309D"/>
    <w:rsid w:val="00995037"/>
    <w:rsid w:val="009960BD"/>
    <w:rsid w:val="00996317"/>
    <w:rsid w:val="00997AC8"/>
    <w:rsid w:val="009A09BC"/>
    <w:rsid w:val="009A2866"/>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3C48"/>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15FFC"/>
    <w:rsid w:val="00A20901"/>
    <w:rsid w:val="00A21957"/>
    <w:rsid w:val="00A21CC5"/>
    <w:rsid w:val="00A2375A"/>
    <w:rsid w:val="00A2686A"/>
    <w:rsid w:val="00A32BF3"/>
    <w:rsid w:val="00A33994"/>
    <w:rsid w:val="00A34E70"/>
    <w:rsid w:val="00A351EF"/>
    <w:rsid w:val="00A3607A"/>
    <w:rsid w:val="00A36E58"/>
    <w:rsid w:val="00A409AD"/>
    <w:rsid w:val="00A41C0D"/>
    <w:rsid w:val="00A46209"/>
    <w:rsid w:val="00A463BC"/>
    <w:rsid w:val="00A509DB"/>
    <w:rsid w:val="00A50C65"/>
    <w:rsid w:val="00A51032"/>
    <w:rsid w:val="00A52F7F"/>
    <w:rsid w:val="00A53CA9"/>
    <w:rsid w:val="00A53FF9"/>
    <w:rsid w:val="00A54B99"/>
    <w:rsid w:val="00A55DC6"/>
    <w:rsid w:val="00A63C94"/>
    <w:rsid w:val="00A74CA9"/>
    <w:rsid w:val="00A74F62"/>
    <w:rsid w:val="00A7623C"/>
    <w:rsid w:val="00A763AD"/>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A088D"/>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9C9"/>
    <w:rsid w:val="00B12EA7"/>
    <w:rsid w:val="00B16F53"/>
    <w:rsid w:val="00B21669"/>
    <w:rsid w:val="00B21FE9"/>
    <w:rsid w:val="00B22598"/>
    <w:rsid w:val="00B2643C"/>
    <w:rsid w:val="00B30077"/>
    <w:rsid w:val="00B31260"/>
    <w:rsid w:val="00B31D70"/>
    <w:rsid w:val="00B3230B"/>
    <w:rsid w:val="00B3524D"/>
    <w:rsid w:val="00B363CE"/>
    <w:rsid w:val="00B37352"/>
    <w:rsid w:val="00B408C4"/>
    <w:rsid w:val="00B4195D"/>
    <w:rsid w:val="00B44C54"/>
    <w:rsid w:val="00B46835"/>
    <w:rsid w:val="00B52B96"/>
    <w:rsid w:val="00B548C7"/>
    <w:rsid w:val="00B54F2B"/>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EC9"/>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16F"/>
    <w:rsid w:val="00BF629B"/>
    <w:rsid w:val="00BF7238"/>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20A"/>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194F"/>
    <w:rsid w:val="00E83C81"/>
    <w:rsid w:val="00E858B6"/>
    <w:rsid w:val="00E876CD"/>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35C0"/>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40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11593</Words>
  <Characters>66085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77523</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3</cp:revision>
  <cp:lastPrinted>2023-01-18T08:53:00Z</cp:lastPrinted>
  <dcterms:created xsi:type="dcterms:W3CDTF">2024-02-16T10:28:00Z</dcterms:created>
  <dcterms:modified xsi:type="dcterms:W3CDTF">2024-02-16T10:30:00Z</dcterms:modified>
</cp:coreProperties>
</file>