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D" w:rsidRDefault="007F6D8D">
      <w:pPr>
        <w:jc w:val="right"/>
        <w:rPr>
          <w:b/>
          <w:bCs/>
          <w:sz w:val="24"/>
          <w:szCs w:val="24"/>
        </w:rPr>
      </w:pPr>
    </w:p>
    <w:p w:rsidR="007F6D8D" w:rsidRDefault="000F068D">
      <w:pPr>
        <w:pStyle w:val="10"/>
        <w:numPr>
          <w:ilvl w:val="0"/>
          <w:numId w:val="1"/>
        </w:numPr>
        <w:jc w:val="right"/>
        <w:rPr>
          <w:sz w:val="16"/>
          <w:szCs w:val="16"/>
        </w:rPr>
      </w:pPr>
      <w:r>
        <w:rPr>
          <w:b/>
          <w:bCs/>
          <w:sz w:val="16"/>
          <w:szCs w:val="16"/>
          <w:lang w:val="uk-UA"/>
        </w:rPr>
        <w:t>Додаток 3</w:t>
      </w:r>
    </w:p>
    <w:p w:rsidR="007F6D8D" w:rsidRDefault="000F068D">
      <w:pPr>
        <w:pStyle w:val="10"/>
        <w:numPr>
          <w:ilvl w:val="0"/>
          <w:numId w:val="1"/>
        </w:numPr>
        <w:jc w:val="right"/>
        <w:rPr>
          <w:sz w:val="16"/>
          <w:szCs w:val="16"/>
        </w:rPr>
      </w:pPr>
      <w:r>
        <w:rPr>
          <w:bCs/>
          <w:sz w:val="16"/>
          <w:szCs w:val="16"/>
          <w:lang w:val="uk-UA"/>
        </w:rPr>
        <w:t>до тендерної документації</w:t>
      </w:r>
    </w:p>
    <w:p w:rsidR="007F6D8D" w:rsidRDefault="007F6D8D">
      <w:pPr>
        <w:pStyle w:val="10"/>
        <w:numPr>
          <w:ilvl w:val="0"/>
          <w:numId w:val="1"/>
        </w:numPr>
        <w:jc w:val="right"/>
        <w:rPr>
          <w:bCs/>
          <w:sz w:val="24"/>
          <w:szCs w:val="24"/>
          <w:lang w:val="uk-UA"/>
        </w:rPr>
      </w:pPr>
    </w:p>
    <w:p w:rsidR="007F6D8D" w:rsidRPr="000F068D" w:rsidRDefault="000F068D" w:rsidP="000F068D">
      <w:pPr>
        <w:pStyle w:val="10"/>
        <w:numPr>
          <w:ilvl w:val="0"/>
          <w:numId w:val="1"/>
        </w:numPr>
        <w:jc w:val="right"/>
        <w:rPr>
          <w:bCs/>
          <w:sz w:val="24"/>
          <w:szCs w:val="24"/>
          <w:lang w:val="uk-UA"/>
        </w:rPr>
      </w:pPr>
      <w:r w:rsidRPr="000F068D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7F6D8D" w:rsidRDefault="000F068D">
      <w:pPr>
        <w:pStyle w:val="10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Технічна специфікація.</w:t>
      </w:r>
    </w:p>
    <w:p w:rsidR="007F6D8D" w:rsidRPr="000F068D" w:rsidRDefault="000F068D">
      <w:pPr>
        <w:pStyle w:val="10"/>
        <w:numPr>
          <w:ilvl w:val="0"/>
          <w:numId w:val="1"/>
        </w:num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Інформація про необхідні технічні, якісні та кількісні характеристики предмета закупівлі:</w:t>
      </w:r>
    </w:p>
    <w:p w:rsidR="000F068D" w:rsidRDefault="000F068D">
      <w:pPr>
        <w:pStyle w:val="10"/>
        <w:numPr>
          <w:ilvl w:val="0"/>
          <w:numId w:val="1"/>
        </w:numPr>
        <w:jc w:val="center"/>
        <w:rPr>
          <w:sz w:val="24"/>
          <w:szCs w:val="24"/>
          <w:lang w:val="uk-UA"/>
        </w:rPr>
      </w:pPr>
    </w:p>
    <w:p w:rsidR="007F6D8D" w:rsidRDefault="000F068D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виконання проектних робіт та проведення експертизи проектно-кошторисної документації по об'єкту:</w:t>
      </w:r>
    </w:p>
    <w:p w:rsidR="007F6D8D" w:rsidRPr="000F068D" w:rsidRDefault="000F068D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uk-UA"/>
        </w:rPr>
        <w:t>"</w:t>
      </w:r>
      <w:r>
        <w:rPr>
          <w:rFonts w:eastAsia="SimSu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Реконструкція частини другого поверху оперативно-координаційного центру ГУ ДСНС України у Запорізькій області за адресою: </w:t>
      </w:r>
    </w:p>
    <w:p w:rsidR="007F6D8D" w:rsidRPr="000F068D" w:rsidRDefault="000F068D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>
        <w:rPr>
          <w:rFonts w:eastAsia="SimSu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м. Запоріжжя, вул. Фортечна, 65”, </w:t>
      </w:r>
      <w:r>
        <w:rPr>
          <w:rFonts w:eastAsia="SimSun"/>
          <w:b/>
          <w:bCs/>
          <w:color w:val="111111"/>
          <w:kern w:val="2"/>
          <w:sz w:val="24"/>
          <w:szCs w:val="24"/>
          <w:lang w:val="uk-UA" w:eastAsia="zh-CN" w:bidi="hi-IN"/>
        </w:rPr>
        <w:t>ДБН А.2.2-3:2014</w:t>
      </w:r>
    </w:p>
    <w:p w:rsidR="007F6D8D" w:rsidRPr="000F068D" w:rsidRDefault="000F068D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b/>
          <w:color w:val="000000"/>
          <w:sz w:val="24"/>
          <w:szCs w:val="24"/>
          <w:lang w:val="uk-UA"/>
        </w:rPr>
        <w:t>(послуги з інженерного проектування, код 71320000-7 за ДК 021:2015)</w:t>
      </w:r>
    </w:p>
    <w:p w:rsidR="007F6D8D" w:rsidRDefault="000F068D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pacing w:val="20"/>
          <w:sz w:val="26"/>
          <w:szCs w:val="26"/>
          <w:lang w:val="uk-UA"/>
        </w:rPr>
        <w:t>Завдання на проектування</w:t>
      </w:r>
    </w:p>
    <w:tbl>
      <w:tblPr>
        <w:tblW w:w="9923" w:type="dxa"/>
        <w:tblInd w:w="109" w:type="dxa"/>
        <w:tblLook w:val="0000" w:firstRow="0" w:lastRow="0" w:firstColumn="0" w:lastColumn="0" w:noHBand="0" w:noVBand="0"/>
      </w:tblPr>
      <w:tblGrid>
        <w:gridCol w:w="708"/>
        <w:gridCol w:w="2610"/>
        <w:gridCol w:w="6605"/>
      </w:tblGrid>
      <w:tr w:rsidR="007F6D8D">
        <w:trPr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Назва та місцезнаходження об’єкта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firstLine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ОКЦ ГУ ДСНС України у Запорізькій області за адресою:              м. Запоріжжя, вул. Фортечна, 65“.</w:t>
            </w:r>
          </w:p>
        </w:tc>
      </w:tr>
      <w:tr w:rsidR="007F6D8D">
        <w:trPr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Підстава для проектування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kern w:val="0"/>
                <w:sz w:val="22"/>
                <w:szCs w:val="22"/>
                <w:lang w:val="uk-UA" w:eastAsia="uk-UA"/>
              </w:rPr>
              <w:t>Договір (</w:t>
            </w:r>
            <w:r>
              <w:rPr>
                <w:i/>
                <w:iCs/>
                <w:kern w:val="0"/>
                <w:sz w:val="22"/>
                <w:szCs w:val="22"/>
                <w:lang w:val="uk-UA" w:eastAsia="uk-UA"/>
              </w:rPr>
              <w:t>після укладання з виконавцем</w:t>
            </w:r>
            <w:r>
              <w:rPr>
                <w:kern w:val="0"/>
                <w:sz w:val="22"/>
                <w:szCs w:val="22"/>
                <w:lang w:val="uk-UA" w:eastAsia="uk-UA"/>
              </w:rPr>
              <w:t>)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kern w:val="0"/>
                <w:sz w:val="22"/>
                <w:szCs w:val="22"/>
                <w:lang w:val="uk-UA" w:eastAsia="uk-UA"/>
              </w:rPr>
              <w:t>Лист ДСНС України від 31.12.2021 № 16-22428/163-1 «Про надання технічних вимог»</w:t>
            </w:r>
          </w:p>
        </w:tc>
      </w:tr>
      <w:tr w:rsidR="007F6D8D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Вид будівництва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</w:t>
            </w:r>
          </w:p>
        </w:tc>
      </w:tr>
      <w:tr w:rsidR="007F6D8D">
        <w:trPr>
          <w:trHeight w:val="3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Реквізити Замовника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ГУ ДСНС України у Запорізькій області. </w:t>
            </w:r>
          </w:p>
        </w:tc>
      </w:tr>
      <w:tr w:rsidR="007F6D8D">
        <w:trPr>
          <w:trHeight w:val="2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Джерело фінансування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Бюджетні кошти</w:t>
            </w:r>
          </w:p>
        </w:tc>
      </w:tr>
      <w:tr w:rsidR="007F6D8D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Дані про генерального проектувальника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Проектна організація визначається за результатами проведення конкурсу.</w:t>
            </w:r>
          </w:p>
        </w:tc>
      </w:tr>
      <w:tr w:rsidR="007F6D8D">
        <w:trPr>
          <w:trHeight w:val="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Стадія проекту, яка підлягає розробці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Одна стадія: </w:t>
            </w:r>
          </w:p>
          <w:p w:rsidR="007F6D8D" w:rsidRDefault="000F068D">
            <w:pPr>
              <w:pStyle w:val="Standard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робочий проект (РП)</w:t>
            </w:r>
          </w:p>
        </w:tc>
      </w:tr>
      <w:tr w:rsidR="007F6D8D">
        <w:trPr>
          <w:trHeight w:val="2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Інженерні вишукування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обстеження об’єкту (за необхідності інструментальне) в обсягах, достатніх для прийняття проектних рішень.</w:t>
            </w:r>
          </w:p>
        </w:tc>
      </w:tr>
      <w:tr w:rsidR="007F6D8D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Дані про особливі умови будівництва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Проектуванням передбачити виконання робіт у введеній в експлуатацію будівлі, в якій працюють люди, з урахуванням мінімального впливу на існуючий режим роботи установи.</w:t>
            </w:r>
          </w:p>
        </w:tc>
      </w:tr>
      <w:tr w:rsidR="007F6D8D">
        <w:trPr>
          <w:trHeight w:val="1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Основні архітектурно-планувальні вимоги і характеристика запроектованого об’єкту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 дотриманням вимог чинних в Україні нормативних документів розробити проектну документацію (реконструкція  ОКЦ має забезпечити вимоги ДСТУ 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  <w:lang w:val="uk-UA"/>
              </w:rPr>
              <w:t xml:space="preserve"> 11064-6-2013 «Ергономічне проектування центрів керування. Частина 6. Вимоги до середовища центрів керування»), якою передбачити: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влаштування нового планування приміщень другого поверху,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 саме: зміну планування санвузлів з умивальною, влаштування додаткових кабінетів, збільшення площі приміщення серверної,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підсобного приміщення, розширення приміщення для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відпочинку, влаштування двох приміщень для нарад, зміна площі приміщення кризової зали;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розширення приміщень другого поверху за рахунок приєднання частини приміщень сусідньої будівлі для влаштування кімнати відпочинку, приміщення штабу, санвузла з умивальною та кухні;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влаштування дверних прорізів у несучій стіні між будівлями з встановленням металевих рам посилення прорізу;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розширення дверних прорізів у несучих стінах з  встановленням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металевих рам посилення прорізів;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демонтаж існуючих перегородок;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влаштування нових перегородок з </w:t>
            </w:r>
            <w:proofErr w:type="spellStart"/>
            <w:r>
              <w:rPr>
                <w:sz w:val="22"/>
                <w:szCs w:val="22"/>
                <w:lang w:val="uk-UA"/>
              </w:rPr>
              <w:t>газобетонних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блоків та скляних перегородок;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демонтаж існуючих та встановлення нових віконних та дверних блоків;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встановлення нового та заміну існуючого санітарно-технічного обладнання;</w:t>
            </w:r>
          </w:p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повний комплекс оздоблювальних робіт.</w:t>
            </w:r>
          </w:p>
        </w:tc>
      </w:tr>
      <w:tr w:rsidR="007F6D8D">
        <w:trPr>
          <w:trHeight w:val="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Основні вимоги до конструктивних рішень, матеріалів, несущих і огороджувальних конструкцій та оздоблення будівель і споруд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складі проекту розробити розділ «Енергоефективність» відповідно до вимог встановлених ДБН В.2.6-31:2021 Теплова ізоляція та енергоефективність будівель; </w:t>
            </w:r>
            <w:r>
              <w:rPr>
                <w:color w:val="000000" w:themeColor="text1"/>
                <w:sz w:val="22"/>
                <w:szCs w:val="22"/>
                <w:shd w:val="clear" w:color="auto" w:fill="FEFEFE"/>
              </w:rPr>
              <w:t>ДСТУ 9190:2022 Енергетична ефективність будівель. Метод розрахунку енергоспоживання під час опалення, охолодження, вентиляції, освітлення та гарячого водопостачання</w:t>
            </w:r>
            <w:r>
              <w:rPr>
                <w:sz w:val="22"/>
                <w:szCs w:val="22"/>
              </w:rPr>
              <w:t>; ДСТУ 4065-2001 ANSI/IEE 739:1995, NEG) ДСТУ. Енергозбереження. Енергетичний аудит. Загальні технічні вимоги.</w:t>
            </w:r>
          </w:p>
          <w:p w:rsidR="007F6D8D" w:rsidRDefault="000F0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Передбачити застосування сучасних енергозберігаючих технологій при проектуванні внутрішніх інженерних систем.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Перевагу надавати новітнім та передовим розробкам із використанням сучасного </w:t>
            </w:r>
            <w:proofErr w:type="spellStart"/>
            <w:r>
              <w:rPr>
                <w:sz w:val="22"/>
                <w:szCs w:val="22"/>
                <w:lang w:val="uk-UA"/>
              </w:rPr>
              <w:t>енергоефективного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обладнання та матеріалів.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 розробленні проектних рішень слід враховувати застосування матеріалів за обґрунтованою ціною, як правило найменшою при всіх рівних характеристиках, які відповідають чинним в Україні нормативно-правовим актам та нормативним документам з енергозбереження, протипожежних, санітарних та екологічних норм. </w:t>
            </w:r>
          </w:p>
        </w:tc>
      </w:tr>
      <w:tr w:rsidR="007F6D8D">
        <w:trPr>
          <w:trHeight w:val="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щодо інженерного забезпечення (опалення, вентиляція, водопостачання, теплопостачання, електропостачання)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урахуванням вимог абзацу 4 п.1.2. Технічних вимог Замовника (див. пункт 2):</w:t>
            </w:r>
          </w:p>
          <w:p w:rsidR="007F6D8D" w:rsidRDefault="000F068D">
            <w:pPr>
              <w:pStyle w:val="Standard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передбачити прокладання кабельних трас електропостачання у кабельному каналі під підлогою;</w:t>
            </w:r>
          </w:p>
          <w:p w:rsidR="007F6D8D" w:rsidRDefault="000F068D">
            <w:pPr>
              <w:pStyle w:val="Standard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передбачити заміну алюмінієвих кабельних ліній  на мідні з подвійною полімерною ізоляцією;</w:t>
            </w:r>
          </w:p>
          <w:p w:rsidR="007F6D8D" w:rsidRDefault="000F068D">
            <w:pPr>
              <w:pStyle w:val="Standard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передбачити заміну водопроводів, трубопроводів побутової каналізації та стояків опалювальної системи другого поверху.</w:t>
            </w:r>
          </w:p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Передбачити в проектній документації існуючий проект ІТС ОКЦ (шифр: 2022-ОКЦ-ЗП) (</w:t>
            </w:r>
            <w:r>
              <w:rPr>
                <w:i/>
                <w:iCs/>
                <w:sz w:val="22"/>
                <w:szCs w:val="22"/>
                <w:lang w:val="uk-UA"/>
              </w:rPr>
              <w:t>надається проектанту після укладання договору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7F6D8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Черговість будівництва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Передбачити реконструкцію існуючого ОКЦ в одну чергу</w:t>
            </w:r>
          </w:p>
        </w:tc>
      </w:tr>
      <w:tr w:rsidR="007F6D8D">
        <w:trPr>
          <w:trHeight w:val="1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Визначення класу (наслідків) відповідальності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Розрахувати згідно з ДСТУ 8855:2019 «Будівлі та споруди. </w:t>
            </w:r>
            <w:r>
              <w:rPr>
                <w:bCs/>
                <w:sz w:val="22"/>
                <w:szCs w:val="22"/>
                <w:lang w:val="uk-UA"/>
              </w:rPr>
              <w:t>Визначення класу наслідків (відповідальності)»</w:t>
            </w:r>
            <w:r>
              <w:rPr>
                <w:sz w:val="22"/>
                <w:szCs w:val="22"/>
                <w:lang w:val="uk-UA"/>
              </w:rPr>
              <w:t xml:space="preserve"> та погодити із Замовником. </w:t>
            </w:r>
          </w:p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Попередньо визначений клас наслідків (відповідальності) об’єкта – СС3.</w:t>
            </w:r>
          </w:p>
        </w:tc>
      </w:tr>
      <w:tr w:rsidR="007F6D8D">
        <w:trPr>
          <w:trHeight w:val="23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Особливі вимоги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Розроблені пропозиції по внутрішньому оздобленню приміщень погодити з замовником.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Провести обстеження технічного стану несущих стін, в яких будуть передбачені допоміжні отвори та розширені існуючи. Звіт з результатами надати Замовнику.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Розрахувати металоконструкції допоміжних та розширювальних отворів.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Розробити робочі креслення рам підсилення допоміжних отворів.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Проектні рішення погодити з замовником.</w:t>
            </w:r>
          </w:p>
        </w:tc>
      </w:tr>
      <w:tr w:rsidR="007F6D8D">
        <w:trPr>
          <w:trHeight w:val="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Потужність або характеристики об’єму, виробнича програма </w:t>
            </w:r>
          </w:p>
          <w:p w:rsidR="007F6D8D" w:rsidRDefault="007F6D8D">
            <w:pPr>
              <w:pStyle w:val="10"/>
              <w:rPr>
                <w:sz w:val="22"/>
                <w:szCs w:val="22"/>
                <w:lang w:val="uk-UA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Режим роботи – щоденний, протягом року.</w:t>
            </w:r>
          </w:p>
        </w:tc>
      </w:tr>
      <w:tr w:rsidR="007F6D8D">
        <w:trPr>
          <w:trHeight w:val="10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ind w:left="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протипожежного захисту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Визначити проектом відповідно до </w:t>
            </w:r>
            <w:r>
              <w:rPr>
                <w:bCs/>
                <w:sz w:val="22"/>
                <w:szCs w:val="22"/>
                <w:highlight w:val="white"/>
                <w:lang w:val="uk-UA"/>
              </w:rPr>
              <w:t>ДБН В.2.5-56:2014 «Системи протипожежного захисту»</w:t>
            </w:r>
            <w:r>
              <w:rPr>
                <w:sz w:val="22"/>
                <w:szCs w:val="22"/>
                <w:lang w:val="uk-UA"/>
              </w:rPr>
              <w:t xml:space="preserve">, ДСТУ CEN/TS 54-14:2021 Системи пожежної сигналізації та </w:t>
            </w:r>
            <w:proofErr w:type="spellStart"/>
            <w:r>
              <w:rPr>
                <w:sz w:val="22"/>
                <w:szCs w:val="22"/>
                <w:lang w:val="uk-UA"/>
              </w:rPr>
              <w:t>оповіщування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Частина 14. Настанови щодо побудови, проектування, монтування,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пусконалагоджування</w:t>
            </w:r>
            <w:proofErr w:type="spellEnd"/>
            <w:r>
              <w:rPr>
                <w:sz w:val="22"/>
                <w:szCs w:val="22"/>
                <w:lang w:val="uk-UA"/>
              </w:rPr>
              <w:t>, введення в експлуатацію, експлуатування та технічного обслуговування (CEN/TS 54-14:2018, IDT) та передбачити окремим розділом в складі проектної документації.</w:t>
            </w:r>
          </w:p>
        </w:tc>
      </w:tr>
      <w:tr w:rsidR="007F6D8D">
        <w:trPr>
          <w:trHeight w:val="6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ind w:left="4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Блискавкозахист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території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потребує </w:t>
            </w:r>
          </w:p>
        </w:tc>
      </w:tr>
      <w:tr w:rsidR="007F6D8D">
        <w:trPr>
          <w:trHeight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до благоустрою та майданчиків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потребує.</w:t>
            </w:r>
          </w:p>
        </w:tc>
      </w:tr>
      <w:tr w:rsidR="007F6D8D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до режиму безпеки та охорони праці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Відповідно до вимог </w:t>
            </w:r>
            <w:r>
              <w:rPr>
                <w:sz w:val="22"/>
                <w:szCs w:val="22"/>
                <w:lang w:val="uk-UA"/>
              </w:rPr>
              <w:t xml:space="preserve">ДБН А.3.2-2-2009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Система стандартів безпеки праці.</w:t>
            </w:r>
            <w:r>
              <w:rPr>
                <w:sz w:val="22"/>
                <w:szCs w:val="22"/>
                <w:lang w:val="uk-UA"/>
              </w:rPr>
              <w:t xml:space="preserve"> Охорона праці і промислова безпека у будівництві. Основні положення (НПАОП 45.2-7.02-12) та інших діючих нормативно-правових актів. </w:t>
            </w:r>
          </w:p>
        </w:tc>
      </w:tr>
      <w:tr w:rsidR="007F6D8D">
        <w:trPr>
          <w:trHeight w:val="8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до інженерного захисту території та об’єктів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потребує.</w:t>
            </w:r>
          </w:p>
        </w:tc>
      </w:tr>
      <w:tr w:rsidR="007F6D8D">
        <w:trPr>
          <w:trHeight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щодо розроблення розділів «Оцінка впливу на навколишнє середовище», ІТЗ ЦЗ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Об’єкт проектування не належить до об’єктів, які складають підвищену екологічну небезпеку.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Згідно </w:t>
            </w:r>
            <w:r>
              <w:rPr>
                <w:color w:val="000000" w:themeColor="text1"/>
                <w:sz w:val="22"/>
                <w:szCs w:val="22"/>
                <w:shd w:val="clear" w:color="auto" w:fill="FEFEFE"/>
                <w:lang w:val="uk-UA"/>
              </w:rPr>
              <w:t>ДБН А.2.2-1:2021 Склад і зміст матеріалів оцінки впливів на навколишнє середовище (ОВНС)</w:t>
            </w:r>
            <w:r>
              <w:rPr>
                <w:sz w:val="22"/>
                <w:szCs w:val="22"/>
                <w:lang w:val="uk-UA"/>
              </w:rPr>
              <w:t>розробити в скороченому вигляді.</w:t>
            </w:r>
          </w:p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Розділ інженерно-технічних заходів цивільного захисту (цивільної оборони) не вимагається.</w:t>
            </w:r>
          </w:p>
        </w:tc>
      </w:tr>
      <w:tr w:rsidR="007F6D8D">
        <w:trPr>
          <w:trHeight w:val="56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Виконання погоджень проектних рішень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Погодити проектні рішення із Замовником.</w:t>
            </w:r>
          </w:p>
          <w:p w:rsidR="007F6D8D" w:rsidRDefault="000F068D">
            <w:pPr>
              <w:spacing w:line="27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Визначити кошторисну вартість будівництва в поточних цінах на трудові та матеріальні ресурси. </w:t>
            </w:r>
          </w:p>
          <w:p w:rsidR="007F6D8D" w:rsidRDefault="000F068D">
            <w:pPr>
              <w:pStyle w:val="Standard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Організаційно-технічні питання щодо отримання позитивного експертного висновку покладаються на Проектувальника.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Експертиза проектної документації повинна бути проведена в порядку визначеному Постановою КМУ від 11.05.2011 № 560, виконавцем якої може бути лише експертна установа, включена до Переліку експертних організацій, які відповідають критеріям, установленим наказом Міністерства регіонального розвитку, будівництва та житлово-комунального господарства України № 204 від 15.08.2017 року (далі – Перелік).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Проектувальник має забезпечити інженерний супровід при проходженні експертизи проектної документації, у тому числі,  кошторисів в експертній установі, яка включена до Переліку. 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разі невідповідності вимогам та державним стандартам, на Проектувальника покладаються завдання з усунення можливих зауважень для отримання позитивного експертного висновку.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проведення експертизи входить до загальної вартості послуг з розроблення проектно-кошторисної документації.</w:t>
            </w:r>
          </w:p>
          <w:p w:rsidR="007F6D8D" w:rsidRDefault="000F068D">
            <w:pPr>
              <w:jc w:val="both"/>
              <w:rPr>
                <w:sz w:val="22"/>
                <w:szCs w:val="22"/>
              </w:rPr>
            </w:pPr>
            <w:r>
              <w:rPr>
                <w:rStyle w:val="21"/>
              </w:rPr>
              <w:t>Розрахунок вартості проектної документації та вартості проходження експертизи підтвердити відповідними розрахунками.</w:t>
            </w:r>
          </w:p>
          <w:p w:rsidR="007F6D8D" w:rsidRDefault="007F6D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F6D8D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Вимоги до кошторисів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spacing w:line="27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Кошторисну документацію виконати з дотриманням чинних нормативних документів з ціноутворення в будівництві: </w:t>
            </w:r>
            <w:r>
              <w:rPr>
                <w:rStyle w:val="WW8Num10z1"/>
              </w:rPr>
              <w:t>«</w:t>
            </w:r>
            <w:r>
              <w:rPr>
                <w:rStyle w:val="21"/>
              </w:rPr>
              <w:t>Настанови з визначення вартості будівництва» та «Настанови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«Про затвердження кошторисних норм України у будівництві» від 01.11.2021р. №281.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Окрім іншого, кошторисами передбачити вартість виконання будівельних робіт та витрати на: 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будівельних робіт у зимовий та літній період;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ризику всіх учасників будівництва у розмірі 2%;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покриття додаткових витрат, пов’язаних з інфляційними процесами;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закладання проектної документації до страхового фонду документації України;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технічного нагляду;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авторського нагляду;</w:t>
            </w:r>
          </w:p>
          <w:p w:rsidR="007F6D8D" w:rsidRDefault="000F068D">
            <w:pPr>
              <w:pStyle w:val="Standard"/>
              <w:numPr>
                <w:ilvl w:val="1"/>
                <w:numId w:val="2"/>
              </w:numPr>
              <w:jc w:val="both"/>
            </w:pPr>
            <w:r>
              <w:rPr>
                <w:sz w:val="22"/>
                <w:szCs w:val="22"/>
                <w:lang w:val="uk-UA"/>
              </w:rPr>
              <w:t>оплату послуг, пов’язаних з підготовкою до виконання робіт, їх здійсненням та введенням об’єкту в експлуатацію (проведення технічної інвентаризації з виготовленням технічного паспорту, введення технічного паспорту в систему Дія).</w:t>
            </w:r>
          </w:p>
        </w:tc>
      </w:tr>
      <w:tr w:rsidR="007F6D8D">
        <w:trPr>
          <w:trHeight w:val="35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Інші вимоги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в організації проектувальника щонайменше двох сертифікованих інженерів-проектувальників (інженерно-будівельне проектування у частині забезпечення механічного опору та стійкості), хоча б один з яких має категорію не нижче провідного інженера.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в організації проектувальника будівельного експерта (технічне обстеження будівель і споруд) що найменше провідного інженера.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Наявність в організації проектувальника атестованого 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енергоаудитора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в організації проектувальника ліцензійної копії сертифікованої програми з розрахунку металоконструкцій.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Наявність в організації проектувальника ліцензійної копії програми для розробки кошторисної документації.</w:t>
            </w:r>
          </w:p>
        </w:tc>
      </w:tr>
      <w:tr w:rsidR="007F6D8D">
        <w:trPr>
          <w:trHeight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8D" w:rsidRDefault="000F068D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Передавання проектної</w:t>
            </w:r>
          </w:p>
          <w:p w:rsidR="007F6D8D" w:rsidRDefault="000F068D">
            <w:pPr>
              <w:pStyle w:val="1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Документації Замовнику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Проектну документацію (Робочий проект) передати Замовнику у 4 (чотирьох) примірниках на паперових носіях (два з них оригінальні), а також в одному примірнику на електронному (USB-флеш-накопичувач) носії (сканована копія), а саме: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сканована копія проектної документації у форматі *</w:t>
            </w:r>
            <w:proofErr w:type="spellStart"/>
            <w:r>
              <w:rPr>
                <w:sz w:val="22"/>
                <w:szCs w:val="22"/>
                <w:lang w:val="uk-UA"/>
              </w:rPr>
              <w:t>.pdf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Adobe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Portable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Document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Format</w:t>
            </w:r>
            <w:proofErr w:type="spellEnd"/>
            <w:r>
              <w:rPr>
                <w:sz w:val="22"/>
                <w:szCs w:val="22"/>
                <w:lang w:val="uk-UA"/>
              </w:rPr>
              <w:t>), виконана в редакторі «</w:t>
            </w:r>
            <w:proofErr w:type="spellStart"/>
            <w:r>
              <w:rPr>
                <w:sz w:val="22"/>
                <w:szCs w:val="22"/>
                <w:lang w:val="uk-UA"/>
              </w:rPr>
              <w:t>Adobe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Acrobat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Reader</w:t>
            </w:r>
            <w:proofErr w:type="spellEnd"/>
            <w:r>
              <w:rPr>
                <w:sz w:val="22"/>
                <w:szCs w:val="22"/>
                <w:lang w:val="uk-UA"/>
              </w:rPr>
              <w:t>», або в еквівалентному програмному забезпеченні, в якому передбачена можливість роботи з файлами формату *</w:t>
            </w:r>
            <w:proofErr w:type="spellStart"/>
            <w:r>
              <w:rPr>
                <w:sz w:val="22"/>
                <w:szCs w:val="22"/>
                <w:lang w:val="uk-UA"/>
              </w:rPr>
              <w:t>.pdf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текстова частина у форматі *.doc, виконана в текстовому редакторі «Microsoft Word» офісного пакету  «Microsoft </w:t>
            </w:r>
            <w:proofErr w:type="spellStart"/>
            <w:r>
              <w:rPr>
                <w:sz w:val="22"/>
                <w:szCs w:val="22"/>
                <w:lang w:val="uk-UA"/>
              </w:rPr>
              <w:t>Ofice</w:t>
            </w:r>
            <w:proofErr w:type="spellEnd"/>
            <w:r>
              <w:rPr>
                <w:sz w:val="22"/>
                <w:szCs w:val="22"/>
                <w:lang w:val="uk-UA"/>
              </w:rPr>
              <w:t>», або в еквівалентному програмному забезпеченні, в якому передбачена можливість роботи з файлами формату *</w:t>
            </w:r>
            <w:proofErr w:type="spellStart"/>
            <w:r>
              <w:rPr>
                <w:sz w:val="22"/>
                <w:szCs w:val="22"/>
                <w:lang w:val="uk-UA"/>
              </w:rPr>
              <w:t>.dос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7F6D8D" w:rsidRDefault="000F068D">
            <w:pPr>
              <w:pStyle w:val="afa"/>
              <w:widowControl/>
              <w:tabs>
                <w:tab w:val="left" w:pos="63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- графічні матеріали у форматі *.</w:t>
            </w:r>
            <w:r>
              <w:rPr>
                <w:color w:val="202122"/>
              </w:rPr>
              <w:t>DXF</w:t>
            </w:r>
            <w:r>
              <w:rPr>
                <w:lang w:val="uk-UA"/>
              </w:rPr>
              <w:t>;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кошториси у форматі *</w:t>
            </w:r>
            <w:proofErr w:type="spellStart"/>
            <w:r>
              <w:rPr>
                <w:sz w:val="22"/>
                <w:szCs w:val="22"/>
                <w:lang w:val="uk-UA"/>
              </w:rPr>
              <w:t>.ims</w:t>
            </w:r>
            <w:proofErr w:type="spellEnd"/>
            <w:r>
              <w:rPr>
                <w:sz w:val="22"/>
                <w:szCs w:val="22"/>
                <w:lang w:val="uk-UA"/>
              </w:rPr>
              <w:t>, виконані в програмному комплексі для розрахунку кошторисів «АВК – 5», або в еквівалентному програмному забезпеченні за можливості повноцінної інтеграції файлів у АВК-5.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Технічні звіти з інженерного обстеження передати Замовнику у 2 (двох) оригінальних примірниках на паперових носіях та в одному примірнику на електронному  (USB-флеш-накопичувач або DVD-диск)  носії (сканована копія), а саме:</w:t>
            </w:r>
          </w:p>
          <w:p w:rsidR="007F6D8D" w:rsidRDefault="000F068D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копія документації технічних звітів у форматі *</w:t>
            </w:r>
            <w:proofErr w:type="spellStart"/>
            <w:r>
              <w:rPr>
                <w:sz w:val="22"/>
                <w:szCs w:val="22"/>
                <w:lang w:val="uk-UA"/>
              </w:rPr>
              <w:t>.pdf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Adobe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Portable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Document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Format</w:t>
            </w:r>
            <w:proofErr w:type="spellEnd"/>
            <w:r>
              <w:rPr>
                <w:sz w:val="22"/>
                <w:szCs w:val="22"/>
                <w:lang w:val="uk-UA"/>
              </w:rPr>
              <w:t>), виконана в редакторі «</w:t>
            </w:r>
            <w:proofErr w:type="spellStart"/>
            <w:r>
              <w:rPr>
                <w:sz w:val="22"/>
                <w:szCs w:val="22"/>
                <w:lang w:val="uk-UA"/>
              </w:rPr>
              <w:t>Adobe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Acrobat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Reader</w:t>
            </w:r>
            <w:proofErr w:type="spellEnd"/>
            <w:r>
              <w:rPr>
                <w:sz w:val="22"/>
                <w:szCs w:val="22"/>
                <w:lang w:val="uk-UA"/>
              </w:rPr>
              <w:t>», або в еквівалентному програмному забезпеченні, в якому передбачена можливість роботи з файлами формату *</w:t>
            </w:r>
            <w:proofErr w:type="spellStart"/>
            <w:r>
              <w:rPr>
                <w:sz w:val="22"/>
                <w:szCs w:val="22"/>
                <w:lang w:val="uk-UA"/>
              </w:rPr>
              <w:t>.pdf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7F6D8D" w:rsidRDefault="007F6D8D">
      <w:pPr>
        <w:pStyle w:val="10"/>
        <w:suppressAutoHyphens w:val="0"/>
        <w:rPr>
          <w:sz w:val="22"/>
          <w:szCs w:val="22"/>
          <w:lang w:val="uk-UA"/>
        </w:rPr>
      </w:pPr>
    </w:p>
    <w:p w:rsidR="00390C06" w:rsidRDefault="00390C06">
      <w:pPr>
        <w:pStyle w:val="10"/>
        <w:suppressAutoHyphens w:val="0"/>
        <w:rPr>
          <w:sz w:val="22"/>
          <w:szCs w:val="22"/>
          <w:lang w:val="uk-UA"/>
        </w:rPr>
      </w:pPr>
    </w:p>
    <w:p w:rsidR="00390C06" w:rsidRDefault="00390C06">
      <w:pPr>
        <w:pStyle w:val="10"/>
        <w:suppressAutoHyphens w:val="0"/>
        <w:rPr>
          <w:sz w:val="22"/>
          <w:szCs w:val="22"/>
          <w:lang w:val="uk-UA"/>
        </w:rPr>
      </w:pPr>
    </w:p>
    <w:p w:rsidR="00390C06" w:rsidRDefault="00390C06">
      <w:pPr>
        <w:pStyle w:val="10"/>
        <w:suppressAutoHyphens w:val="0"/>
        <w:rPr>
          <w:sz w:val="22"/>
          <w:szCs w:val="22"/>
          <w:lang w:val="uk-UA"/>
        </w:rPr>
      </w:pPr>
    </w:p>
    <w:p w:rsidR="00390C06" w:rsidRPr="00CA2A61" w:rsidRDefault="00390C06" w:rsidP="00390C06">
      <w:pPr>
        <w:jc w:val="both"/>
        <w:rPr>
          <w:sz w:val="24"/>
          <w:szCs w:val="24"/>
        </w:rPr>
      </w:pPr>
      <w:r w:rsidRPr="00CA2A61">
        <w:rPr>
          <w:b/>
          <w:bCs/>
          <w:color w:val="000000"/>
          <w:sz w:val="24"/>
          <w:szCs w:val="24"/>
        </w:rPr>
        <w:t>З технічними та якісними характеристиками</w:t>
      </w:r>
    </w:p>
    <w:p w:rsidR="00390C06" w:rsidRPr="00CA2A61" w:rsidRDefault="00390C06" w:rsidP="00390C06">
      <w:pPr>
        <w:jc w:val="both"/>
        <w:rPr>
          <w:sz w:val="24"/>
          <w:szCs w:val="24"/>
        </w:rPr>
      </w:pPr>
      <w:r w:rsidRPr="00CA2A61">
        <w:rPr>
          <w:b/>
          <w:bCs/>
          <w:color w:val="000000"/>
          <w:sz w:val="24"/>
          <w:szCs w:val="24"/>
        </w:rPr>
        <w:t xml:space="preserve">предмету закупівлі погоджуємось: </w:t>
      </w:r>
    </w:p>
    <w:p w:rsidR="00390C06" w:rsidRPr="00CA2A61" w:rsidRDefault="00390C06" w:rsidP="00390C06">
      <w:pPr>
        <w:rPr>
          <w:b/>
          <w:bCs/>
          <w:color w:val="000000"/>
          <w:sz w:val="24"/>
          <w:szCs w:val="24"/>
        </w:rPr>
      </w:pPr>
    </w:p>
    <w:p w:rsidR="00390C06" w:rsidRDefault="00390C06" w:rsidP="00390C06">
      <w:pPr>
        <w:rPr>
          <w:b/>
          <w:bCs/>
          <w:color w:val="000000"/>
          <w:sz w:val="24"/>
          <w:szCs w:val="24"/>
        </w:rPr>
      </w:pPr>
      <w:r w:rsidRPr="00CA2A61">
        <w:rPr>
          <w:b/>
          <w:bCs/>
          <w:color w:val="000000"/>
          <w:sz w:val="24"/>
          <w:szCs w:val="24"/>
        </w:rPr>
        <w:t xml:space="preserve">Керівник підприємства – </w:t>
      </w:r>
    </w:p>
    <w:p w:rsidR="00390C06" w:rsidRPr="00CA2A61" w:rsidRDefault="00390C06" w:rsidP="00390C06">
      <w:pPr>
        <w:rPr>
          <w:sz w:val="24"/>
          <w:szCs w:val="24"/>
        </w:rPr>
      </w:pPr>
      <w:r w:rsidRPr="00CA2A61">
        <w:rPr>
          <w:b/>
          <w:bCs/>
          <w:color w:val="000000"/>
          <w:sz w:val="24"/>
          <w:szCs w:val="24"/>
        </w:rPr>
        <w:t>Учасника процедури закупівлі</w:t>
      </w:r>
    </w:p>
    <w:p w:rsidR="00390C06" w:rsidRPr="00CA2A61" w:rsidRDefault="00390C06" w:rsidP="00390C06">
      <w:pPr>
        <w:rPr>
          <w:sz w:val="24"/>
          <w:szCs w:val="24"/>
        </w:rPr>
      </w:pPr>
      <w:r w:rsidRPr="00CA2A61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</w:t>
      </w:r>
      <w:r w:rsidRPr="00CA2A61">
        <w:rPr>
          <w:b/>
          <w:bCs/>
          <w:color w:val="000000"/>
          <w:sz w:val="24"/>
          <w:szCs w:val="24"/>
        </w:rPr>
        <w:t xml:space="preserve"> ______________________      П.І.Б.</w:t>
      </w:r>
    </w:p>
    <w:p w:rsidR="00390C06" w:rsidRPr="00CA2A61" w:rsidRDefault="00390C06" w:rsidP="00390C06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CA2A61">
        <w:rPr>
          <w:b/>
          <w:bCs/>
          <w:color w:val="000000"/>
          <w:sz w:val="24"/>
          <w:szCs w:val="24"/>
        </w:rPr>
        <w:t xml:space="preserve">(Підпис)   </w:t>
      </w:r>
      <w:proofErr w:type="spellStart"/>
      <w:r w:rsidRPr="00CA2A61">
        <w:rPr>
          <w:b/>
          <w:bCs/>
          <w:color w:val="000000"/>
          <w:sz w:val="24"/>
          <w:szCs w:val="24"/>
        </w:rPr>
        <w:t>м.п</w:t>
      </w:r>
      <w:proofErr w:type="spellEnd"/>
    </w:p>
    <w:p w:rsidR="00390C06" w:rsidRDefault="00390C06">
      <w:pPr>
        <w:pStyle w:val="10"/>
        <w:suppressAutoHyphens w:val="0"/>
        <w:rPr>
          <w:sz w:val="22"/>
          <w:szCs w:val="22"/>
          <w:lang w:val="uk-UA"/>
        </w:rPr>
      </w:pPr>
      <w:bookmarkStart w:id="0" w:name="_GoBack"/>
      <w:bookmarkEnd w:id="0"/>
    </w:p>
    <w:sectPr w:rsidR="00390C06" w:rsidSect="00390C06">
      <w:pgSz w:w="11906" w:h="16838"/>
      <w:pgMar w:top="851" w:right="567" w:bottom="426" w:left="1418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7A6"/>
    <w:multiLevelType w:val="multilevel"/>
    <w:tmpl w:val="57CA7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792808"/>
    <w:multiLevelType w:val="multilevel"/>
    <w:tmpl w:val="0C380B6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3D8C6285"/>
    <w:multiLevelType w:val="multilevel"/>
    <w:tmpl w:val="B4EC37F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F76D26"/>
    <w:multiLevelType w:val="multilevel"/>
    <w:tmpl w:val="19DA2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D"/>
    <w:rsid w:val="000F068D"/>
    <w:rsid w:val="00390C06"/>
    <w:rsid w:val="007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10"/>
    <w:next w:val="10"/>
    <w:qFormat/>
    <w:pPr>
      <w:keepNext/>
      <w:outlineLvl w:val="1"/>
    </w:pPr>
    <w:rPr>
      <w:sz w:val="26"/>
      <w:lang w:val="uk-UA"/>
    </w:rPr>
  </w:style>
  <w:style w:type="paragraph" w:styleId="3">
    <w:name w:val="heading 3"/>
    <w:basedOn w:val="10"/>
    <w:next w:val="10"/>
    <w:qFormat/>
    <w:pPr>
      <w:keepNext/>
      <w:outlineLvl w:val="2"/>
    </w:pPr>
    <w:rPr>
      <w:b/>
      <w:i/>
      <w:sz w:val="28"/>
      <w:lang w:val="uk-UA"/>
    </w:rPr>
  </w:style>
  <w:style w:type="paragraph" w:styleId="4">
    <w:name w:val="heading 4"/>
    <w:basedOn w:val="10"/>
    <w:next w:val="10"/>
    <w:qFormat/>
    <w:pPr>
      <w:keepNext/>
      <w:outlineLvl w:val="3"/>
    </w:pPr>
    <w:rPr>
      <w:sz w:val="24"/>
      <w:lang w:val="uk-UA"/>
    </w:rPr>
  </w:style>
  <w:style w:type="paragraph" w:styleId="5">
    <w:name w:val="heading 5"/>
    <w:basedOn w:val="10"/>
    <w:next w:val="10"/>
    <w:qFormat/>
    <w:pPr>
      <w:keepNext/>
      <w:ind w:left="5670"/>
      <w:jc w:val="both"/>
      <w:outlineLvl w:val="4"/>
    </w:pPr>
    <w:rPr>
      <w:sz w:val="24"/>
      <w:lang w:val="uk-UA"/>
    </w:rPr>
  </w:style>
  <w:style w:type="paragraph" w:styleId="9">
    <w:name w:val="heading 9"/>
    <w:basedOn w:val="10"/>
    <w:next w:val="1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10z1">
    <w:name w:val="WW8Num10z1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Arial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Arial" w:hAnsi="Arial" w:cs="Aria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a3">
    <w:name w:val="Символ нумерации"/>
    <w:qFormat/>
  </w:style>
  <w:style w:type="character" w:styleId="a4">
    <w:name w:val="annotation reference"/>
    <w:qFormat/>
    <w:rsid w:val="005462A2"/>
    <w:rPr>
      <w:sz w:val="16"/>
      <w:szCs w:val="16"/>
    </w:rPr>
  </w:style>
  <w:style w:type="character" w:customStyle="1" w:styleId="a5">
    <w:name w:val="Текст примечания Знак"/>
    <w:qFormat/>
    <w:rsid w:val="005462A2"/>
    <w:rPr>
      <w:lang w:eastAsia="ar-SA"/>
    </w:rPr>
  </w:style>
  <w:style w:type="character" w:customStyle="1" w:styleId="a6">
    <w:name w:val="Тема примечания Знак"/>
    <w:qFormat/>
    <w:rsid w:val="005462A2"/>
    <w:rPr>
      <w:b/>
      <w:bCs/>
      <w:lang w:eastAsia="ar-SA"/>
    </w:rPr>
  </w:style>
  <w:style w:type="character" w:customStyle="1" w:styleId="a7">
    <w:name w:val="Абзац списка Знак"/>
    <w:uiPriority w:val="99"/>
    <w:qFormat/>
    <w:rsid w:val="00C079C1"/>
    <w:rPr>
      <w:sz w:val="24"/>
      <w:szCs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Гіперпосилання"/>
    <w:basedOn w:val="a0"/>
    <w:uiPriority w:val="99"/>
    <w:unhideWhenUsed/>
    <w:rsid w:val="00DF5357"/>
    <w:rPr>
      <w:color w:val="0000FF"/>
      <w:u w:val="single"/>
    </w:rPr>
  </w:style>
  <w:style w:type="character" w:customStyle="1" w:styleId="20">
    <w:name w:val="Основной текст (2)_"/>
    <w:basedOn w:val="a0"/>
    <w:qFormat/>
    <w:rsid w:val="000125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basedOn w:val="20"/>
    <w:qFormat/>
    <w:rsid w:val="000125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paragraph" w:customStyle="1" w:styleId="aa">
    <w:name w:val="Заголовок"/>
    <w:basedOn w:val="10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10"/>
    <w:pPr>
      <w:jc w:val="both"/>
    </w:pPr>
    <w:rPr>
      <w:spacing w:val="-20"/>
      <w:sz w:val="22"/>
      <w:lang w:val="uk-UA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10"/>
    <w:next w:val="ae"/>
    <w:qFormat/>
    <w:pPr>
      <w:ind w:left="4820"/>
      <w:jc w:val="center"/>
    </w:pPr>
    <w:rPr>
      <w:sz w:val="28"/>
      <w:lang w:val="uk-UA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Обычный1"/>
    <w:qFormat/>
    <w:rPr>
      <w:lang w:val="en-US" w:eastAsia="ar-SA"/>
    </w:rPr>
  </w:style>
  <w:style w:type="paragraph" w:styleId="af0">
    <w:name w:val="index heading"/>
    <w:basedOn w:val="10"/>
    <w:qFormat/>
    <w:pPr>
      <w:suppressLineNumbers/>
    </w:pPr>
    <w:rPr>
      <w:rFonts w:cs="Lohit Devanagari"/>
    </w:rPr>
  </w:style>
  <w:style w:type="paragraph" w:styleId="af1">
    <w:name w:val="Title"/>
    <w:basedOn w:val="10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10"/>
    <w:qFormat/>
    <w:pPr>
      <w:suppressLineNumbers/>
    </w:pPr>
    <w:rPr>
      <w:rFonts w:cs="Mangal"/>
    </w:rPr>
  </w:style>
  <w:style w:type="paragraph" w:customStyle="1" w:styleId="af2">
    <w:name w:val="Верхний и нижний колонтитулы"/>
    <w:basedOn w:val="10"/>
    <w:qFormat/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10"/>
    <w:pPr>
      <w:tabs>
        <w:tab w:val="center" w:pos="4153"/>
        <w:tab w:val="right" w:pos="8306"/>
      </w:tabs>
    </w:pPr>
  </w:style>
  <w:style w:type="paragraph" w:styleId="af5">
    <w:name w:val="footer"/>
    <w:basedOn w:val="10"/>
    <w:pPr>
      <w:tabs>
        <w:tab w:val="center" w:pos="4153"/>
        <w:tab w:val="right" w:pos="8306"/>
      </w:tabs>
    </w:pPr>
  </w:style>
  <w:style w:type="paragraph" w:styleId="ae">
    <w:name w:val="Subtitle"/>
    <w:basedOn w:val="af1"/>
    <w:next w:val="ab"/>
    <w:qFormat/>
    <w:pPr>
      <w:jc w:val="center"/>
    </w:pPr>
    <w:rPr>
      <w:i/>
      <w:iCs/>
    </w:rPr>
  </w:style>
  <w:style w:type="paragraph" w:customStyle="1" w:styleId="FR1">
    <w:name w:val="FR1"/>
    <w:qFormat/>
    <w:pPr>
      <w:widowControl w:val="0"/>
      <w:spacing w:before="160"/>
      <w:ind w:left="240"/>
    </w:pPr>
    <w:rPr>
      <w:rFonts w:ascii="Arial" w:hAnsi="Arial" w:cs="Arial"/>
      <w:sz w:val="24"/>
      <w:lang w:eastAsia="ar-SA"/>
    </w:rPr>
  </w:style>
  <w:style w:type="paragraph" w:styleId="af6">
    <w:name w:val="Body Text Indent"/>
    <w:basedOn w:val="10"/>
    <w:pPr>
      <w:ind w:left="317" w:hanging="317"/>
      <w:jc w:val="both"/>
    </w:pPr>
    <w:rPr>
      <w:sz w:val="28"/>
      <w:lang w:val="uk-UA"/>
    </w:rPr>
  </w:style>
  <w:style w:type="paragraph" w:customStyle="1" w:styleId="210">
    <w:name w:val="Основной текст 21"/>
    <w:basedOn w:val="10"/>
    <w:qFormat/>
    <w:pPr>
      <w:widowControl w:val="0"/>
      <w:tabs>
        <w:tab w:val="left" w:pos="576"/>
        <w:tab w:val="left" w:pos="720"/>
        <w:tab w:val="left" w:pos="1584"/>
        <w:tab w:val="left" w:pos="3456"/>
        <w:tab w:val="left" w:pos="5904"/>
        <w:tab w:val="left" w:pos="6480"/>
      </w:tabs>
      <w:jc w:val="both"/>
    </w:pPr>
    <w:rPr>
      <w:sz w:val="24"/>
    </w:rPr>
  </w:style>
  <w:style w:type="paragraph" w:styleId="af7">
    <w:name w:val="Balloon Text"/>
    <w:basedOn w:val="10"/>
    <w:qFormat/>
    <w:rPr>
      <w:rFonts w:ascii="Tahoma" w:hAnsi="Tahoma" w:cs="Tahoma"/>
      <w:sz w:val="16"/>
      <w:szCs w:val="16"/>
    </w:rPr>
  </w:style>
  <w:style w:type="paragraph" w:customStyle="1" w:styleId="FR2">
    <w:name w:val="FR2"/>
    <w:qFormat/>
    <w:pPr>
      <w:widowControl w:val="0"/>
      <w:spacing w:before="1340"/>
      <w:jc w:val="both"/>
    </w:pPr>
    <w:rPr>
      <w:rFonts w:ascii="Courier New" w:hAnsi="Courier New" w:cs="Courier New"/>
      <w:b/>
      <w:sz w:val="18"/>
      <w:lang w:eastAsia="ar-SA"/>
    </w:rPr>
  </w:style>
  <w:style w:type="paragraph" w:customStyle="1" w:styleId="af8">
    <w:name w:val="Содержимое таблицы"/>
    <w:basedOn w:val="10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">
    <w:name w:val="Абзац списка1"/>
    <w:basedOn w:val="10"/>
    <w:qFormat/>
    <w:rsid w:val="000255D5"/>
    <w:pPr>
      <w:suppressAutoHyphens w:val="0"/>
      <w:ind w:left="708"/>
      <w:jc w:val="both"/>
    </w:pPr>
    <w:rPr>
      <w:sz w:val="24"/>
      <w:lang w:val="en-GB" w:eastAsia="en-US"/>
    </w:rPr>
  </w:style>
  <w:style w:type="paragraph" w:customStyle="1" w:styleId="Default">
    <w:name w:val="Default"/>
    <w:qFormat/>
    <w:rsid w:val="00E16D7F"/>
    <w:rPr>
      <w:color w:val="000000"/>
      <w:sz w:val="24"/>
      <w:szCs w:val="24"/>
      <w:lang w:val="ru-RU" w:eastAsia="ru-RU"/>
    </w:rPr>
  </w:style>
  <w:style w:type="paragraph" w:styleId="afa">
    <w:name w:val="List Paragraph"/>
    <w:basedOn w:val="10"/>
    <w:uiPriority w:val="99"/>
    <w:qFormat/>
    <w:rsid w:val="003B491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30">
    <w:name w:val="Знак Знак3 Знак Знак Знак Знак"/>
    <w:basedOn w:val="10"/>
    <w:qFormat/>
    <w:rsid w:val="00D37A45"/>
    <w:pPr>
      <w:suppressAutoHyphens w:val="0"/>
    </w:pPr>
    <w:rPr>
      <w:rFonts w:ascii="Verdana" w:eastAsia="MS Mincho" w:hAnsi="Verdana" w:cs="Verdana"/>
      <w:lang w:eastAsia="en-US"/>
    </w:rPr>
  </w:style>
  <w:style w:type="paragraph" w:styleId="afb">
    <w:name w:val="annotation text"/>
    <w:basedOn w:val="10"/>
    <w:qFormat/>
    <w:rsid w:val="005462A2"/>
  </w:style>
  <w:style w:type="paragraph" w:styleId="afc">
    <w:name w:val="annotation subject"/>
    <w:basedOn w:val="afb"/>
    <w:next w:val="afb"/>
    <w:qFormat/>
    <w:rsid w:val="005462A2"/>
    <w:rPr>
      <w:b/>
      <w:bCs/>
    </w:rPr>
  </w:style>
  <w:style w:type="paragraph" w:customStyle="1" w:styleId="31">
    <w:name w:val="Знак Знак3 Знак Знак"/>
    <w:basedOn w:val="10"/>
    <w:qFormat/>
    <w:rsid w:val="00DC0723"/>
    <w:pPr>
      <w:suppressAutoHyphens w:val="0"/>
    </w:pPr>
    <w:rPr>
      <w:rFonts w:ascii="Verdana" w:eastAsia="MS Mincho" w:hAnsi="Verdana" w:cs="Verdana"/>
      <w:lang w:eastAsia="en-US"/>
    </w:rPr>
  </w:style>
  <w:style w:type="paragraph" w:styleId="afd">
    <w:name w:val="Revision"/>
    <w:uiPriority w:val="99"/>
    <w:semiHidden/>
    <w:qFormat/>
    <w:rsid w:val="006210B4"/>
    <w:rPr>
      <w:lang w:val="ru-RU" w:eastAsia="ar-SA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10"/>
    <w:next w:val="10"/>
    <w:qFormat/>
    <w:pPr>
      <w:keepNext/>
      <w:outlineLvl w:val="1"/>
    </w:pPr>
    <w:rPr>
      <w:sz w:val="26"/>
      <w:lang w:val="uk-UA"/>
    </w:rPr>
  </w:style>
  <w:style w:type="paragraph" w:styleId="3">
    <w:name w:val="heading 3"/>
    <w:basedOn w:val="10"/>
    <w:next w:val="10"/>
    <w:qFormat/>
    <w:pPr>
      <w:keepNext/>
      <w:outlineLvl w:val="2"/>
    </w:pPr>
    <w:rPr>
      <w:b/>
      <w:i/>
      <w:sz w:val="28"/>
      <w:lang w:val="uk-UA"/>
    </w:rPr>
  </w:style>
  <w:style w:type="paragraph" w:styleId="4">
    <w:name w:val="heading 4"/>
    <w:basedOn w:val="10"/>
    <w:next w:val="10"/>
    <w:qFormat/>
    <w:pPr>
      <w:keepNext/>
      <w:outlineLvl w:val="3"/>
    </w:pPr>
    <w:rPr>
      <w:sz w:val="24"/>
      <w:lang w:val="uk-UA"/>
    </w:rPr>
  </w:style>
  <w:style w:type="paragraph" w:styleId="5">
    <w:name w:val="heading 5"/>
    <w:basedOn w:val="10"/>
    <w:next w:val="10"/>
    <w:qFormat/>
    <w:pPr>
      <w:keepNext/>
      <w:ind w:left="5670"/>
      <w:jc w:val="both"/>
      <w:outlineLvl w:val="4"/>
    </w:pPr>
    <w:rPr>
      <w:sz w:val="24"/>
      <w:lang w:val="uk-UA"/>
    </w:rPr>
  </w:style>
  <w:style w:type="paragraph" w:styleId="9">
    <w:name w:val="heading 9"/>
    <w:basedOn w:val="10"/>
    <w:next w:val="1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10z1">
    <w:name w:val="WW8Num10z1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Arial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Arial" w:hAnsi="Arial" w:cs="Aria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a3">
    <w:name w:val="Символ нумерации"/>
    <w:qFormat/>
  </w:style>
  <w:style w:type="character" w:styleId="a4">
    <w:name w:val="annotation reference"/>
    <w:qFormat/>
    <w:rsid w:val="005462A2"/>
    <w:rPr>
      <w:sz w:val="16"/>
      <w:szCs w:val="16"/>
    </w:rPr>
  </w:style>
  <w:style w:type="character" w:customStyle="1" w:styleId="a5">
    <w:name w:val="Текст примечания Знак"/>
    <w:qFormat/>
    <w:rsid w:val="005462A2"/>
    <w:rPr>
      <w:lang w:eastAsia="ar-SA"/>
    </w:rPr>
  </w:style>
  <w:style w:type="character" w:customStyle="1" w:styleId="a6">
    <w:name w:val="Тема примечания Знак"/>
    <w:qFormat/>
    <w:rsid w:val="005462A2"/>
    <w:rPr>
      <w:b/>
      <w:bCs/>
      <w:lang w:eastAsia="ar-SA"/>
    </w:rPr>
  </w:style>
  <w:style w:type="character" w:customStyle="1" w:styleId="a7">
    <w:name w:val="Абзац списка Знак"/>
    <w:uiPriority w:val="99"/>
    <w:qFormat/>
    <w:rsid w:val="00C079C1"/>
    <w:rPr>
      <w:sz w:val="24"/>
      <w:szCs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Гіперпосилання"/>
    <w:basedOn w:val="a0"/>
    <w:uiPriority w:val="99"/>
    <w:unhideWhenUsed/>
    <w:rsid w:val="00DF5357"/>
    <w:rPr>
      <w:color w:val="0000FF"/>
      <w:u w:val="single"/>
    </w:rPr>
  </w:style>
  <w:style w:type="character" w:customStyle="1" w:styleId="20">
    <w:name w:val="Основной текст (2)_"/>
    <w:basedOn w:val="a0"/>
    <w:qFormat/>
    <w:rsid w:val="000125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basedOn w:val="20"/>
    <w:qFormat/>
    <w:rsid w:val="000125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paragraph" w:customStyle="1" w:styleId="aa">
    <w:name w:val="Заголовок"/>
    <w:basedOn w:val="10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10"/>
    <w:pPr>
      <w:jc w:val="both"/>
    </w:pPr>
    <w:rPr>
      <w:spacing w:val="-20"/>
      <w:sz w:val="22"/>
      <w:lang w:val="uk-UA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10"/>
    <w:next w:val="ae"/>
    <w:qFormat/>
    <w:pPr>
      <w:ind w:left="4820"/>
      <w:jc w:val="center"/>
    </w:pPr>
    <w:rPr>
      <w:sz w:val="28"/>
      <w:lang w:val="uk-UA"/>
    </w:rPr>
  </w:style>
  <w:style w:type="paragraph" w:customStyle="1" w:styleId="af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Обычный1"/>
    <w:qFormat/>
    <w:rPr>
      <w:lang w:val="en-US" w:eastAsia="ar-SA"/>
    </w:rPr>
  </w:style>
  <w:style w:type="paragraph" w:styleId="af0">
    <w:name w:val="index heading"/>
    <w:basedOn w:val="10"/>
    <w:qFormat/>
    <w:pPr>
      <w:suppressLineNumbers/>
    </w:pPr>
    <w:rPr>
      <w:rFonts w:cs="Lohit Devanagari"/>
    </w:rPr>
  </w:style>
  <w:style w:type="paragraph" w:styleId="af1">
    <w:name w:val="Title"/>
    <w:basedOn w:val="10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10"/>
    <w:qFormat/>
    <w:pPr>
      <w:suppressLineNumbers/>
    </w:pPr>
    <w:rPr>
      <w:rFonts w:cs="Mangal"/>
    </w:rPr>
  </w:style>
  <w:style w:type="paragraph" w:customStyle="1" w:styleId="af2">
    <w:name w:val="Верхний и нижний колонтитулы"/>
    <w:basedOn w:val="10"/>
    <w:qFormat/>
  </w:style>
  <w:style w:type="paragraph" w:customStyle="1" w:styleId="af3">
    <w:name w:val="Верхній і нижній колонтитули"/>
    <w:basedOn w:val="a"/>
    <w:qFormat/>
  </w:style>
  <w:style w:type="paragraph" w:styleId="af4">
    <w:name w:val="header"/>
    <w:basedOn w:val="10"/>
    <w:pPr>
      <w:tabs>
        <w:tab w:val="center" w:pos="4153"/>
        <w:tab w:val="right" w:pos="8306"/>
      </w:tabs>
    </w:pPr>
  </w:style>
  <w:style w:type="paragraph" w:styleId="af5">
    <w:name w:val="footer"/>
    <w:basedOn w:val="10"/>
    <w:pPr>
      <w:tabs>
        <w:tab w:val="center" w:pos="4153"/>
        <w:tab w:val="right" w:pos="8306"/>
      </w:tabs>
    </w:pPr>
  </w:style>
  <w:style w:type="paragraph" w:styleId="ae">
    <w:name w:val="Subtitle"/>
    <w:basedOn w:val="af1"/>
    <w:next w:val="ab"/>
    <w:qFormat/>
    <w:pPr>
      <w:jc w:val="center"/>
    </w:pPr>
    <w:rPr>
      <w:i/>
      <w:iCs/>
    </w:rPr>
  </w:style>
  <w:style w:type="paragraph" w:customStyle="1" w:styleId="FR1">
    <w:name w:val="FR1"/>
    <w:qFormat/>
    <w:pPr>
      <w:widowControl w:val="0"/>
      <w:spacing w:before="160"/>
      <w:ind w:left="240"/>
    </w:pPr>
    <w:rPr>
      <w:rFonts w:ascii="Arial" w:hAnsi="Arial" w:cs="Arial"/>
      <w:sz w:val="24"/>
      <w:lang w:eastAsia="ar-SA"/>
    </w:rPr>
  </w:style>
  <w:style w:type="paragraph" w:styleId="af6">
    <w:name w:val="Body Text Indent"/>
    <w:basedOn w:val="10"/>
    <w:pPr>
      <w:ind w:left="317" w:hanging="317"/>
      <w:jc w:val="both"/>
    </w:pPr>
    <w:rPr>
      <w:sz w:val="28"/>
      <w:lang w:val="uk-UA"/>
    </w:rPr>
  </w:style>
  <w:style w:type="paragraph" w:customStyle="1" w:styleId="210">
    <w:name w:val="Основной текст 21"/>
    <w:basedOn w:val="10"/>
    <w:qFormat/>
    <w:pPr>
      <w:widowControl w:val="0"/>
      <w:tabs>
        <w:tab w:val="left" w:pos="576"/>
        <w:tab w:val="left" w:pos="720"/>
        <w:tab w:val="left" w:pos="1584"/>
        <w:tab w:val="left" w:pos="3456"/>
        <w:tab w:val="left" w:pos="5904"/>
        <w:tab w:val="left" w:pos="6480"/>
      </w:tabs>
      <w:jc w:val="both"/>
    </w:pPr>
    <w:rPr>
      <w:sz w:val="24"/>
    </w:rPr>
  </w:style>
  <w:style w:type="paragraph" w:styleId="af7">
    <w:name w:val="Balloon Text"/>
    <w:basedOn w:val="10"/>
    <w:qFormat/>
    <w:rPr>
      <w:rFonts w:ascii="Tahoma" w:hAnsi="Tahoma" w:cs="Tahoma"/>
      <w:sz w:val="16"/>
      <w:szCs w:val="16"/>
    </w:rPr>
  </w:style>
  <w:style w:type="paragraph" w:customStyle="1" w:styleId="FR2">
    <w:name w:val="FR2"/>
    <w:qFormat/>
    <w:pPr>
      <w:widowControl w:val="0"/>
      <w:spacing w:before="1340"/>
      <w:jc w:val="both"/>
    </w:pPr>
    <w:rPr>
      <w:rFonts w:ascii="Courier New" w:hAnsi="Courier New" w:cs="Courier New"/>
      <w:b/>
      <w:sz w:val="18"/>
      <w:lang w:eastAsia="ar-SA"/>
    </w:rPr>
  </w:style>
  <w:style w:type="paragraph" w:customStyle="1" w:styleId="af8">
    <w:name w:val="Содержимое таблицы"/>
    <w:basedOn w:val="10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">
    <w:name w:val="Абзац списка1"/>
    <w:basedOn w:val="10"/>
    <w:qFormat/>
    <w:rsid w:val="000255D5"/>
    <w:pPr>
      <w:suppressAutoHyphens w:val="0"/>
      <w:ind w:left="708"/>
      <w:jc w:val="both"/>
    </w:pPr>
    <w:rPr>
      <w:sz w:val="24"/>
      <w:lang w:val="en-GB" w:eastAsia="en-US"/>
    </w:rPr>
  </w:style>
  <w:style w:type="paragraph" w:customStyle="1" w:styleId="Default">
    <w:name w:val="Default"/>
    <w:qFormat/>
    <w:rsid w:val="00E16D7F"/>
    <w:rPr>
      <w:color w:val="000000"/>
      <w:sz w:val="24"/>
      <w:szCs w:val="24"/>
      <w:lang w:val="ru-RU" w:eastAsia="ru-RU"/>
    </w:rPr>
  </w:style>
  <w:style w:type="paragraph" w:styleId="afa">
    <w:name w:val="List Paragraph"/>
    <w:basedOn w:val="10"/>
    <w:uiPriority w:val="99"/>
    <w:qFormat/>
    <w:rsid w:val="003B491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30">
    <w:name w:val="Знак Знак3 Знак Знак Знак Знак"/>
    <w:basedOn w:val="10"/>
    <w:qFormat/>
    <w:rsid w:val="00D37A45"/>
    <w:pPr>
      <w:suppressAutoHyphens w:val="0"/>
    </w:pPr>
    <w:rPr>
      <w:rFonts w:ascii="Verdana" w:eastAsia="MS Mincho" w:hAnsi="Verdana" w:cs="Verdana"/>
      <w:lang w:eastAsia="en-US"/>
    </w:rPr>
  </w:style>
  <w:style w:type="paragraph" w:styleId="afb">
    <w:name w:val="annotation text"/>
    <w:basedOn w:val="10"/>
    <w:qFormat/>
    <w:rsid w:val="005462A2"/>
  </w:style>
  <w:style w:type="paragraph" w:styleId="afc">
    <w:name w:val="annotation subject"/>
    <w:basedOn w:val="afb"/>
    <w:next w:val="afb"/>
    <w:qFormat/>
    <w:rsid w:val="005462A2"/>
    <w:rPr>
      <w:b/>
      <w:bCs/>
    </w:rPr>
  </w:style>
  <w:style w:type="paragraph" w:customStyle="1" w:styleId="31">
    <w:name w:val="Знак Знак3 Знак Знак"/>
    <w:basedOn w:val="10"/>
    <w:qFormat/>
    <w:rsid w:val="00DC0723"/>
    <w:pPr>
      <w:suppressAutoHyphens w:val="0"/>
    </w:pPr>
    <w:rPr>
      <w:rFonts w:ascii="Verdana" w:eastAsia="MS Mincho" w:hAnsi="Verdana" w:cs="Verdana"/>
      <w:lang w:eastAsia="en-US"/>
    </w:rPr>
  </w:style>
  <w:style w:type="paragraph" w:styleId="afd">
    <w:name w:val="Revision"/>
    <w:uiPriority w:val="99"/>
    <w:semiHidden/>
    <w:qFormat/>
    <w:rsid w:val="006210B4"/>
    <w:rPr>
      <w:lang w:val="ru-RU" w:eastAsia="ar-SA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C683-BAD4-49D1-8C34-F39D75F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4995</TotalTime>
  <Pages>4</Pages>
  <Words>1728</Words>
  <Characters>9850</Characters>
  <Application>Microsoft Office Word</Application>
  <DocSecurity>0</DocSecurity>
  <Lines>82</Lines>
  <Paragraphs>23</Paragraphs>
  <ScaleCrop>false</ScaleCrop>
  <Company>уппгк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of the month</dc:title>
  <dc:subject/>
  <dc:creator>Техотдел</dc:creator>
  <dc:description/>
  <cp:lastModifiedBy>admin</cp:lastModifiedBy>
  <cp:revision>76</cp:revision>
  <dcterms:created xsi:type="dcterms:W3CDTF">2023-02-15T08:07:00Z</dcterms:created>
  <dcterms:modified xsi:type="dcterms:W3CDTF">2023-03-30T02:53:00Z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уппгк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