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414A6E" w:rsidRPr="0048037B" w:rsidRDefault="007E297B" w:rsidP="00414A6E">
            <w:pPr>
              <w:jc w:val="both"/>
              <w:rPr>
                <w:i/>
                <w:iCs/>
                <w:color w:val="000000"/>
                <w:lang w:val="uk-UA"/>
              </w:rPr>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414A6E">
              <w:rPr>
                <w:lang w:val="uk-UA"/>
              </w:rPr>
              <w:t>«Медичні розчини»</w:t>
            </w:r>
            <w:r w:rsidR="00414A6E" w:rsidRPr="00EC4E3E">
              <w:rPr>
                <w:lang w:val="uk-UA"/>
              </w:rPr>
              <w:t xml:space="preserve"> код 336</w:t>
            </w:r>
            <w:r w:rsidR="00414A6E">
              <w:rPr>
                <w:lang w:val="uk-UA"/>
              </w:rPr>
              <w:t>9200</w:t>
            </w:r>
            <w:r w:rsidR="00414A6E" w:rsidRPr="00EC4E3E">
              <w:rPr>
                <w:lang w:val="uk-UA"/>
              </w:rPr>
              <w:t>0-</w:t>
            </w:r>
            <w:r w:rsidR="00414A6E">
              <w:rPr>
                <w:lang w:val="uk-UA"/>
              </w:rPr>
              <w:t>7</w:t>
            </w:r>
            <w:r w:rsidR="00414A6E" w:rsidRPr="00EC4E3E">
              <w:rPr>
                <w:lang w:val="uk-UA"/>
              </w:rPr>
              <w:t xml:space="preserve"> згідно ЄЗС ДК 021: 2015 (</w:t>
            </w:r>
            <w:r w:rsidR="00414A6E">
              <w:rPr>
                <w:lang w:val="uk-UA"/>
              </w:rPr>
              <w:t>Розчини інфузійні та ін’єкційні</w:t>
            </w:r>
            <w:r w:rsidR="00414A6E" w:rsidRPr="00414A6E">
              <w:rPr>
                <w:lang w:val="uk-UA"/>
              </w:rPr>
              <w:t>)</w:t>
            </w:r>
            <w:r w:rsidR="00414A6E">
              <w:rPr>
                <w:lang w:val="uk-UA"/>
              </w:rPr>
              <w:t xml:space="preserve"> </w:t>
            </w:r>
          </w:p>
          <w:p w:rsidR="007E297B" w:rsidRPr="00504A47" w:rsidRDefault="007E297B" w:rsidP="00AD537B">
            <w:pPr>
              <w:widowControl w:val="0"/>
              <w:tabs>
                <w:tab w:val="left" w:pos="1080"/>
              </w:tabs>
              <w:jc w:val="both"/>
              <w:rPr>
                <w:color w:val="000000"/>
                <w:lang w:val="uk-UA"/>
              </w:rPr>
            </w:pP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414A6E" w:rsidRDefault="00414A6E" w:rsidP="007E297B">
      <w:pPr>
        <w:jc w:val="center"/>
        <w:rPr>
          <w:b/>
          <w:lang w:val="uk-UA"/>
        </w:rPr>
      </w:pPr>
    </w:p>
    <w:p w:rsidR="00414A6E" w:rsidRDefault="00414A6E" w:rsidP="007E297B">
      <w:pPr>
        <w:jc w:val="center"/>
        <w:rPr>
          <w:b/>
          <w:lang w:val="uk-UA"/>
        </w:rPr>
      </w:pPr>
    </w:p>
    <w:p w:rsidR="007E297B" w:rsidRPr="007E297B" w:rsidRDefault="007E297B" w:rsidP="007E297B">
      <w:pPr>
        <w:jc w:val="center"/>
        <w:rPr>
          <w:lang w:val="uk-UA"/>
        </w:rPr>
      </w:pPr>
      <w:bookmarkStart w:id="0" w:name="_GoBack"/>
      <w:bookmarkEnd w:id="0"/>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414A6E"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414A6E"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414A6E"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414A6E"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414A6E"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414A6E"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414A6E"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414A6E"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414A6E"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414A6E"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414A6E"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414A6E"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414A6E"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344CF3"/>
    <w:rsid w:val="00414A6E"/>
    <w:rsid w:val="00450173"/>
    <w:rsid w:val="00732808"/>
    <w:rsid w:val="0074481F"/>
    <w:rsid w:val="007E297B"/>
    <w:rsid w:val="008D7620"/>
    <w:rsid w:val="009B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4557</Words>
  <Characters>25977</Characters>
  <Application>Microsoft Office Word</Application>
  <DocSecurity>0</DocSecurity>
  <Lines>216</Lines>
  <Paragraphs>60</Paragraphs>
  <ScaleCrop>false</ScaleCrop>
  <Company>SPecialiST RePack</Company>
  <LinksUpToDate>false</LinksUpToDate>
  <CharactersWithSpaces>30474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2023-03-13T08:35:00Z</dcterms:created>
  <dcterms:modified xsi:type="dcterms:W3CDTF">2023-05-18T06:29:00Z</dcterms:modified>
</cp:coreProperties>
</file>