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3CC636D2" w:rsidR="00FE41E6" w:rsidRPr="00DC54C7" w:rsidRDefault="00F47ED7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28</w:t>
      </w:r>
      <w:r w:rsidR="00BB15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серпня 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707D3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33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32C5A41E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2106/23/163546</w:t>
      </w:r>
      <w:r w:rsidR="00707D31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28</w:t>
      </w:r>
      <w:r w:rsidR="00BB15CF">
        <w:rPr>
          <w:rFonts w:ascii="Times New Roman" w:eastAsia="Times New Roman" w:hAnsi="Times New Roman" w:cs="Times New Roman"/>
          <w:sz w:val="24"/>
          <w:szCs w:val="24"/>
          <w:highlight w:val="white"/>
        </w:rPr>
        <w:t>.08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F47ED7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D7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 страхування </w:t>
      </w:r>
      <w:r w:rsidR="00707D31">
        <w:rPr>
          <w:rFonts w:ascii="Times New Roman" w:eastAsia="Times New Roman" w:hAnsi="Times New Roman" w:cs="Times New Roman"/>
          <w:sz w:val="24"/>
          <w:szCs w:val="24"/>
        </w:rPr>
        <w:t xml:space="preserve">цивільно – правової відповідальності власників транспортних засобів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F47E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66510000-8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707D31">
        <w:rPr>
          <w:rFonts w:ascii="Times New Roman" w:eastAsia="Times New Roman" w:hAnsi="Times New Roman" w:cs="Times New Roman"/>
          <w:sz w:val="24"/>
          <w:szCs w:val="24"/>
        </w:rPr>
        <w:t>861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46D1ECCE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F47ED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C5814" w:rsidRPr="00B2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47ED7">
        <w:rPr>
          <w:rFonts w:ascii="Times New Roman" w:eastAsia="Times New Roman" w:hAnsi="Times New Roman" w:cs="Times New Roman"/>
          <w:sz w:val="24"/>
          <w:szCs w:val="24"/>
          <w:lang w:val="ru-RU"/>
        </w:rPr>
        <w:t>02</w:t>
      </w:r>
      <w:r w:rsidRPr="00B241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241A2" w:rsidRPr="00B241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07D31">
        <w:rPr>
          <w:rFonts w:ascii="Times New Roman" w:eastAsia="Times New Roman" w:hAnsi="Times New Roman" w:cs="Times New Roman"/>
          <w:sz w:val="24"/>
          <w:szCs w:val="24"/>
        </w:rPr>
        <w:t>58</w:t>
      </w:r>
      <w:r w:rsidR="00E15C2C" w:rsidRPr="00B241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7D31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</w:t>
      </w:r>
      <w:bookmarkStart w:id="1" w:name="_GoBack"/>
      <w:bookmarkEnd w:id="1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3F1A16"/>
    <w:rsid w:val="00677B1D"/>
    <w:rsid w:val="00692B3D"/>
    <w:rsid w:val="006A0203"/>
    <w:rsid w:val="00707D31"/>
    <w:rsid w:val="008B737B"/>
    <w:rsid w:val="009437E4"/>
    <w:rsid w:val="00B241A2"/>
    <w:rsid w:val="00BB15CF"/>
    <w:rsid w:val="00D4420A"/>
    <w:rsid w:val="00E15C2C"/>
    <w:rsid w:val="00F47ED7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2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241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2023-09-03T10:26:00Z</cp:lastPrinted>
  <dcterms:created xsi:type="dcterms:W3CDTF">2023-09-03T10:26:00Z</dcterms:created>
  <dcterms:modified xsi:type="dcterms:W3CDTF">2023-09-03T10:26:00Z</dcterms:modified>
</cp:coreProperties>
</file>