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963D88" w:rsidRDefault="007C3F47" w:rsidP="007C3F47">
      <w:pPr>
        <w:jc w:val="center"/>
        <w:rPr>
          <w:b/>
          <w:bCs/>
          <w:sz w:val="26"/>
          <w:szCs w:val="26"/>
        </w:rPr>
      </w:pPr>
      <w:r w:rsidRPr="00963D88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7C3F47" w:rsidRDefault="007C3F47" w:rsidP="007C3F47">
      <w:pPr>
        <w:rPr>
          <w:sz w:val="26"/>
          <w:szCs w:val="26"/>
        </w:rPr>
      </w:pPr>
    </w:p>
    <w:p w:rsidR="007C3F47" w:rsidRDefault="007C3F47" w:rsidP="00F150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 закупівлі: </w:t>
      </w:r>
      <w:r w:rsidR="00F150A3" w:rsidRPr="00F150A3">
        <w:rPr>
          <w:b/>
          <w:sz w:val="26"/>
          <w:szCs w:val="26"/>
        </w:rPr>
        <w:t xml:space="preserve">Папір для друку </w:t>
      </w:r>
      <w:r w:rsidR="00F150A3" w:rsidRPr="00F150A3">
        <w:rPr>
          <w:sz w:val="26"/>
          <w:szCs w:val="26"/>
        </w:rPr>
        <w:t>(</w:t>
      </w:r>
      <w:proofErr w:type="spellStart"/>
      <w:r w:rsidR="00F150A3" w:rsidRPr="00F150A3">
        <w:rPr>
          <w:sz w:val="26"/>
          <w:szCs w:val="26"/>
        </w:rPr>
        <w:t>ДК</w:t>
      </w:r>
      <w:proofErr w:type="spellEnd"/>
      <w:r w:rsidR="00F150A3" w:rsidRPr="00F150A3">
        <w:rPr>
          <w:sz w:val="26"/>
          <w:szCs w:val="26"/>
        </w:rPr>
        <w:t xml:space="preserve"> 021:2015 – 30190000-7) </w:t>
      </w:r>
      <w:r w:rsidR="00F150A3" w:rsidRPr="00F150A3">
        <w:rPr>
          <w:b/>
          <w:sz w:val="26"/>
          <w:szCs w:val="26"/>
        </w:rPr>
        <w:t xml:space="preserve">Офісне устаткування та приладдя різне </w:t>
      </w:r>
      <w:r>
        <w:rPr>
          <w:sz w:val="26"/>
          <w:szCs w:val="26"/>
        </w:rPr>
        <w:t>в кількості, асортименті та з технічними характеристиками відповідно до специфікації, наведеної нижче:</w:t>
      </w:r>
    </w:p>
    <w:p w:rsidR="007C3F47" w:rsidRDefault="007C3F47" w:rsidP="007C3F47">
      <w:pPr>
        <w:rPr>
          <w:sz w:val="26"/>
          <w:szCs w:val="26"/>
        </w:rPr>
      </w:pPr>
    </w:p>
    <w:p w:rsidR="003F1A3F" w:rsidRPr="009D2361" w:rsidRDefault="003F1A3F" w:rsidP="003F1A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Папір білий формату А-4</w:t>
      </w:r>
      <w:r w:rsidRPr="005503A5">
        <w:rPr>
          <w:sz w:val="28"/>
          <w:szCs w:val="28"/>
        </w:rPr>
        <w:t xml:space="preserve"> щільніст</w:t>
      </w:r>
      <w:r>
        <w:rPr>
          <w:sz w:val="28"/>
          <w:szCs w:val="28"/>
        </w:rPr>
        <w:t>ь</w:t>
      </w:r>
      <w:r w:rsidRPr="005503A5">
        <w:rPr>
          <w:sz w:val="28"/>
          <w:szCs w:val="28"/>
        </w:rPr>
        <w:t xml:space="preserve"> 80г/м2, </w:t>
      </w:r>
      <w:r>
        <w:rPr>
          <w:sz w:val="28"/>
          <w:szCs w:val="28"/>
        </w:rPr>
        <w:t>в пачці 500 аркушів</w:t>
      </w:r>
      <w:r>
        <w:rPr>
          <w:sz w:val="28"/>
          <w:szCs w:val="28"/>
        </w:rPr>
        <w:tab/>
        <w:t xml:space="preserve"> - 375 </w:t>
      </w:r>
      <w:proofErr w:type="spellStart"/>
      <w:r>
        <w:rPr>
          <w:sz w:val="28"/>
          <w:szCs w:val="28"/>
        </w:rPr>
        <w:t>пач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2361">
        <w:rPr>
          <w:sz w:val="28"/>
          <w:szCs w:val="28"/>
        </w:rPr>
        <w:tab/>
      </w:r>
    </w:p>
    <w:p w:rsidR="003F1A3F" w:rsidRDefault="003F1A3F" w:rsidP="003F1A3F">
      <w:pPr>
        <w:rPr>
          <w:sz w:val="28"/>
          <w:szCs w:val="28"/>
        </w:rPr>
      </w:pPr>
    </w:p>
    <w:p w:rsidR="003F1A3F" w:rsidRPr="0070797A" w:rsidRDefault="003F1A3F" w:rsidP="003F1A3F">
      <w:pPr>
        <w:jc w:val="center"/>
        <w:rPr>
          <w:b/>
          <w:sz w:val="28"/>
          <w:szCs w:val="28"/>
        </w:rPr>
      </w:pPr>
      <w:r w:rsidRPr="0070797A">
        <w:rPr>
          <w:b/>
          <w:sz w:val="28"/>
          <w:szCs w:val="28"/>
        </w:rPr>
        <w:t>Місце поставки паперу</w:t>
      </w:r>
    </w:p>
    <w:p w:rsidR="003F1A3F" w:rsidRDefault="003F1A3F" w:rsidP="003F1A3F">
      <w:pPr>
        <w:widowControl w:val="0"/>
        <w:ind w:left="720"/>
      </w:pPr>
    </w:p>
    <w:tbl>
      <w:tblPr>
        <w:tblW w:w="7946" w:type="dxa"/>
        <w:jc w:val="center"/>
        <w:tblLook w:val="04A0"/>
      </w:tblPr>
      <w:tblGrid>
        <w:gridCol w:w="594"/>
        <w:gridCol w:w="2558"/>
        <w:gridCol w:w="3160"/>
        <w:gridCol w:w="1634"/>
      </w:tblGrid>
      <w:tr w:rsidR="003F1A3F" w:rsidRPr="004D0980" w:rsidTr="006D0CF6">
        <w:trPr>
          <w:trHeight w:val="12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F" w:rsidRPr="004D0980" w:rsidRDefault="003F1A3F" w:rsidP="006D0CF6">
            <w:pPr>
              <w:rPr>
                <w:sz w:val="28"/>
                <w:szCs w:val="28"/>
              </w:rPr>
            </w:pPr>
            <w:r w:rsidRPr="004D0980">
              <w:rPr>
                <w:sz w:val="28"/>
                <w:szCs w:val="28"/>
              </w:rPr>
              <w:t>№</w:t>
            </w:r>
            <w:r w:rsidRPr="004D098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A3F" w:rsidRPr="00B07A46" w:rsidRDefault="003F1A3F" w:rsidP="006D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доставки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F" w:rsidRPr="004D0980" w:rsidRDefault="003F1A3F" w:rsidP="006D0CF6">
            <w:pPr>
              <w:jc w:val="center"/>
              <w:rPr>
                <w:bCs/>
                <w:sz w:val="28"/>
                <w:szCs w:val="28"/>
              </w:rPr>
            </w:pPr>
            <w:r w:rsidRPr="004D0980">
              <w:rPr>
                <w:bCs/>
                <w:sz w:val="28"/>
                <w:szCs w:val="28"/>
              </w:rPr>
              <w:t>Папір А4,80 г/м²,</w:t>
            </w:r>
            <w:r w:rsidRPr="004D0980">
              <w:rPr>
                <w:bCs/>
                <w:sz w:val="28"/>
                <w:szCs w:val="28"/>
              </w:rPr>
              <w:br/>
            </w:r>
            <w:proofErr w:type="spellStart"/>
            <w:r w:rsidRPr="004D0980">
              <w:rPr>
                <w:bCs/>
                <w:sz w:val="28"/>
                <w:szCs w:val="28"/>
              </w:rPr>
              <w:t>пач</w:t>
            </w:r>
            <w:proofErr w:type="spellEnd"/>
            <w:r w:rsidRPr="004D0980">
              <w:rPr>
                <w:bCs/>
                <w:sz w:val="28"/>
                <w:szCs w:val="28"/>
              </w:rPr>
              <w:t>.</w:t>
            </w:r>
          </w:p>
        </w:tc>
      </w:tr>
      <w:tr w:rsidR="003F1A3F" w:rsidRPr="004D0980" w:rsidTr="006D0CF6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4D0980" w:rsidRDefault="003F1A3F" w:rsidP="006D0CF6">
            <w:pPr>
              <w:jc w:val="right"/>
              <w:rPr>
                <w:sz w:val="28"/>
                <w:szCs w:val="28"/>
              </w:rPr>
            </w:pPr>
            <w:r w:rsidRPr="004D0980">
              <w:rPr>
                <w:sz w:val="28"/>
                <w:szCs w:val="28"/>
              </w:rPr>
              <w:t>1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F" w:rsidRPr="004D0980" w:rsidRDefault="003F1A3F" w:rsidP="006D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Черкаси, </w:t>
            </w:r>
            <w:r w:rsidRPr="004D0980">
              <w:rPr>
                <w:sz w:val="28"/>
                <w:szCs w:val="28"/>
              </w:rPr>
              <w:t>проспект Хіміків, 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F" w:rsidRPr="00561934" w:rsidRDefault="003F1A3F" w:rsidP="006D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F1A3F" w:rsidRPr="004D0980" w:rsidTr="006D0CF6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70797A" w:rsidRDefault="003F1A3F" w:rsidP="006D0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4D0980" w:rsidRDefault="003F1A3F" w:rsidP="006D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 w:rsidRPr="004D0980">
              <w:rPr>
                <w:sz w:val="28"/>
                <w:szCs w:val="28"/>
              </w:rPr>
              <w:t>Звенигородка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D0980">
              <w:rPr>
                <w:sz w:val="28"/>
                <w:szCs w:val="28"/>
              </w:rPr>
              <w:t>вул. С.Терещенко, 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F" w:rsidRPr="00561934" w:rsidRDefault="003F1A3F" w:rsidP="006D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3F1A3F" w:rsidRPr="004D0980" w:rsidTr="006D0CF6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4D0980" w:rsidRDefault="003F1A3F" w:rsidP="006D0CF6">
            <w:pPr>
              <w:rPr>
                <w:sz w:val="28"/>
                <w:szCs w:val="28"/>
              </w:rPr>
            </w:pPr>
            <w:r w:rsidRPr="004D0980">
              <w:rPr>
                <w:sz w:val="28"/>
                <w:szCs w:val="28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4D0980" w:rsidRDefault="003F1A3F" w:rsidP="006D0CF6">
            <w:pPr>
              <w:jc w:val="right"/>
              <w:rPr>
                <w:sz w:val="28"/>
                <w:szCs w:val="28"/>
              </w:rPr>
            </w:pPr>
            <w:r w:rsidRPr="004D0980">
              <w:rPr>
                <w:sz w:val="28"/>
                <w:szCs w:val="28"/>
              </w:rPr>
              <w:t>Разом: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F" w:rsidRPr="004D0980" w:rsidRDefault="003F1A3F" w:rsidP="006D0CF6">
            <w:pPr>
              <w:jc w:val="right"/>
              <w:rPr>
                <w:sz w:val="28"/>
                <w:szCs w:val="28"/>
              </w:rPr>
            </w:pPr>
            <w:r w:rsidRPr="004D0980">
              <w:rPr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F" w:rsidRPr="009E0E47" w:rsidRDefault="003F1A3F" w:rsidP="006D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</w:tbl>
    <w:p w:rsidR="003F1A3F" w:rsidRDefault="003F1A3F" w:rsidP="003F1A3F">
      <w:pPr>
        <w:tabs>
          <w:tab w:val="left" w:pos="6660"/>
        </w:tabs>
        <w:ind w:left="360"/>
        <w:rPr>
          <w:b/>
          <w:color w:val="000000"/>
          <w:sz w:val="28"/>
          <w:szCs w:val="28"/>
        </w:rPr>
      </w:pPr>
    </w:p>
    <w:p w:rsidR="00F150A3" w:rsidRPr="00F150A3" w:rsidRDefault="00F150A3" w:rsidP="00F150A3">
      <w:pPr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bCs/>
          <w:sz w:val="28"/>
          <w:szCs w:val="28"/>
          <w:lang w:eastAsia="en-US"/>
        </w:rPr>
      </w:pPr>
      <w:r w:rsidRPr="00F150A3">
        <w:rPr>
          <w:sz w:val="28"/>
          <w:szCs w:val="28"/>
        </w:rPr>
        <w:t>Якість товару повинна відповідати вимогам відповідних діючих нормативних документів (ГОСТ, ДСТУ,ТУ тощо).</w:t>
      </w:r>
    </w:p>
    <w:p w:rsidR="00F150A3" w:rsidRPr="00F150A3" w:rsidRDefault="00F150A3" w:rsidP="00F150A3">
      <w:pPr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b/>
          <w:bCs/>
          <w:i/>
          <w:sz w:val="28"/>
          <w:szCs w:val="28"/>
          <w:lang w:eastAsia="en-US"/>
        </w:rPr>
      </w:pPr>
      <w:r w:rsidRPr="00F150A3">
        <w:rPr>
          <w:bCs/>
          <w:sz w:val="28"/>
          <w:szCs w:val="28"/>
          <w:lang w:eastAsia="en-US"/>
        </w:rPr>
        <w:t>Товар повинен відповідати вимогам охорони праці, екології та пожежної безпеки</w:t>
      </w:r>
      <w:r w:rsidR="003F1A3F">
        <w:rPr>
          <w:bCs/>
          <w:sz w:val="28"/>
          <w:szCs w:val="28"/>
          <w:lang w:eastAsia="en-US"/>
        </w:rPr>
        <w:t>.</w:t>
      </w:r>
    </w:p>
    <w:p w:rsidR="00F150A3" w:rsidRPr="00F150A3" w:rsidRDefault="00F150A3" w:rsidP="00F150A3">
      <w:pPr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b/>
          <w:bCs/>
          <w:i/>
          <w:sz w:val="28"/>
          <w:szCs w:val="28"/>
          <w:lang w:eastAsia="en-US"/>
        </w:rPr>
      </w:pPr>
      <w:r w:rsidRPr="00F150A3">
        <w:rPr>
          <w:bCs/>
          <w:sz w:val="28"/>
          <w:szCs w:val="28"/>
          <w:lang w:eastAsia="en-US"/>
        </w:rPr>
        <w:t>Товар повинен бути новим, таким що не був у вжитку</w:t>
      </w:r>
      <w:r w:rsidRPr="00F150A3">
        <w:rPr>
          <w:b/>
          <w:bCs/>
          <w:i/>
          <w:sz w:val="28"/>
          <w:szCs w:val="28"/>
          <w:lang w:eastAsia="en-US"/>
        </w:rPr>
        <w:t>.</w:t>
      </w:r>
    </w:p>
    <w:p w:rsidR="00F150A3" w:rsidRPr="00F150A3" w:rsidRDefault="00F150A3" w:rsidP="00F150A3">
      <w:pPr>
        <w:numPr>
          <w:ilvl w:val="0"/>
          <w:numId w:val="4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b/>
          <w:bCs/>
          <w:i/>
          <w:sz w:val="28"/>
          <w:szCs w:val="28"/>
          <w:lang w:eastAsia="en-US"/>
        </w:rPr>
      </w:pPr>
      <w:r w:rsidRPr="00F150A3">
        <w:rPr>
          <w:sz w:val="28"/>
          <w:szCs w:val="28"/>
        </w:rPr>
        <w:t>Ціна Товару включає вартість доставки до місця поставки та вартість тари, упакування і маркування, супутні послуги, податки, збори та всі інші витрати, що мають бути здійснені у зв’язку з виконанням Учасником зобов’язань.</w:t>
      </w:r>
    </w:p>
    <w:p w:rsidR="00F150A3" w:rsidRPr="00F150A3" w:rsidRDefault="00F150A3" w:rsidP="00F150A3">
      <w:pPr>
        <w:jc w:val="both"/>
        <w:rPr>
          <w:sz w:val="28"/>
          <w:szCs w:val="28"/>
        </w:rPr>
      </w:pPr>
      <w:r w:rsidRPr="00F150A3">
        <w:rPr>
          <w:b/>
          <w:i/>
          <w:sz w:val="28"/>
          <w:szCs w:val="28"/>
        </w:rPr>
        <w:t>Примітка:</w:t>
      </w:r>
      <w:r w:rsidRPr="00F150A3">
        <w:rPr>
          <w:i/>
          <w:sz w:val="28"/>
          <w:szCs w:val="28"/>
        </w:rPr>
        <w:t xml:space="preserve">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proofErr w:type="spellStart"/>
      <w:r w:rsidRPr="00F150A3">
        <w:rPr>
          <w:i/>
          <w:sz w:val="28"/>
          <w:szCs w:val="28"/>
        </w:rPr>
        <w:t>“або</w:t>
      </w:r>
      <w:proofErr w:type="spellEnd"/>
      <w:r w:rsidRPr="00F150A3">
        <w:rPr>
          <w:i/>
          <w:sz w:val="28"/>
          <w:szCs w:val="28"/>
        </w:rPr>
        <w:t xml:space="preserve"> </w:t>
      </w:r>
      <w:proofErr w:type="spellStart"/>
      <w:r w:rsidRPr="00F150A3">
        <w:rPr>
          <w:i/>
          <w:sz w:val="28"/>
          <w:szCs w:val="28"/>
        </w:rPr>
        <w:t>еквівалент”</w:t>
      </w:r>
      <w:proofErr w:type="spellEnd"/>
      <w:r w:rsidRPr="00F150A3">
        <w:rPr>
          <w:i/>
          <w:sz w:val="28"/>
          <w:szCs w:val="28"/>
        </w:rPr>
        <w:t xml:space="preserve"> (при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характеристиками).</w:t>
      </w:r>
    </w:p>
    <w:p w:rsidR="009E4452" w:rsidRDefault="009E4452" w:rsidP="00F150A3">
      <w:pPr>
        <w:suppressAutoHyphens/>
        <w:jc w:val="both"/>
        <w:rPr>
          <w:sz w:val="28"/>
          <w:szCs w:val="28"/>
          <w:lang w:val="ru-RU"/>
        </w:rPr>
      </w:pPr>
    </w:p>
    <w:p w:rsidR="003F1A3F" w:rsidRPr="008C2679" w:rsidRDefault="003F1A3F" w:rsidP="003F1A3F">
      <w:pPr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  <w:r w:rsidRPr="005B291D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5B291D">
          <w:rPr>
            <w:rStyle w:val="a8"/>
            <w:b/>
            <w:bCs/>
            <w:i/>
            <w:sz w:val="24"/>
            <w:szCs w:val="24"/>
          </w:rPr>
          <w:t>https://sanctions.nazk.gov.ua./boycott/</w:t>
        </w:r>
      </w:hyperlink>
      <w:r w:rsidRPr="005B291D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p w:rsidR="003F1A3F" w:rsidRPr="008C2679" w:rsidRDefault="003F1A3F" w:rsidP="003F1A3F">
      <w:pPr>
        <w:shd w:val="clear" w:color="auto" w:fill="FFFFFF" w:themeFill="background1"/>
        <w:rPr>
          <w:sz w:val="24"/>
          <w:szCs w:val="24"/>
        </w:rPr>
      </w:pPr>
    </w:p>
    <w:p w:rsidR="003F1A3F" w:rsidRPr="003F1A3F" w:rsidRDefault="003F1A3F" w:rsidP="00F150A3">
      <w:pPr>
        <w:suppressAutoHyphens/>
        <w:jc w:val="both"/>
        <w:rPr>
          <w:sz w:val="28"/>
          <w:szCs w:val="28"/>
        </w:rPr>
      </w:pPr>
    </w:p>
    <w:sectPr w:rsidR="003F1A3F" w:rsidRPr="003F1A3F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421"/>
    <w:multiLevelType w:val="hybridMultilevel"/>
    <w:tmpl w:val="E0629D34"/>
    <w:lvl w:ilvl="0" w:tplc="8556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FC40FEC"/>
    <w:multiLevelType w:val="hybridMultilevel"/>
    <w:tmpl w:val="55A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4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11549F"/>
    <w:rsid w:val="001B1FD6"/>
    <w:rsid w:val="001D60F5"/>
    <w:rsid w:val="001E203E"/>
    <w:rsid w:val="002F5589"/>
    <w:rsid w:val="00304FB6"/>
    <w:rsid w:val="00374965"/>
    <w:rsid w:val="003E0C7B"/>
    <w:rsid w:val="003F1A3F"/>
    <w:rsid w:val="004F1734"/>
    <w:rsid w:val="004F29F8"/>
    <w:rsid w:val="00532385"/>
    <w:rsid w:val="00536D65"/>
    <w:rsid w:val="005A134C"/>
    <w:rsid w:val="006C2509"/>
    <w:rsid w:val="006C6776"/>
    <w:rsid w:val="006D0DEE"/>
    <w:rsid w:val="007240C3"/>
    <w:rsid w:val="007326E4"/>
    <w:rsid w:val="0074616A"/>
    <w:rsid w:val="00767559"/>
    <w:rsid w:val="00797C9F"/>
    <w:rsid w:val="007C3F47"/>
    <w:rsid w:val="007D4638"/>
    <w:rsid w:val="00833DB5"/>
    <w:rsid w:val="0083515B"/>
    <w:rsid w:val="00867965"/>
    <w:rsid w:val="00936B27"/>
    <w:rsid w:val="00996AF4"/>
    <w:rsid w:val="009C2A4E"/>
    <w:rsid w:val="009E4452"/>
    <w:rsid w:val="009F154C"/>
    <w:rsid w:val="00A2238E"/>
    <w:rsid w:val="00A84997"/>
    <w:rsid w:val="00B169EE"/>
    <w:rsid w:val="00BF08F3"/>
    <w:rsid w:val="00C02B7A"/>
    <w:rsid w:val="00C02DF0"/>
    <w:rsid w:val="00C03770"/>
    <w:rsid w:val="00C56248"/>
    <w:rsid w:val="00C8111A"/>
    <w:rsid w:val="00CD5F25"/>
    <w:rsid w:val="00D11CAE"/>
    <w:rsid w:val="00D32353"/>
    <w:rsid w:val="00D54B98"/>
    <w:rsid w:val="00E64A73"/>
    <w:rsid w:val="00E9359C"/>
    <w:rsid w:val="00E93B46"/>
    <w:rsid w:val="00EB5DDD"/>
    <w:rsid w:val="00F150A3"/>
    <w:rsid w:val="00F16B9A"/>
    <w:rsid w:val="00F8070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D0DE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7">
    <w:name w:val="Normal (Web)"/>
    <w:basedOn w:val="a"/>
    <w:uiPriority w:val="99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3F1A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23BE-3F3F-4872-BA7D-975C29EE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2024-03-12T06:58:00Z</cp:lastPrinted>
  <dcterms:created xsi:type="dcterms:W3CDTF">2023-04-05T12:23:00Z</dcterms:created>
  <dcterms:modified xsi:type="dcterms:W3CDTF">2024-03-12T06:58:00Z</dcterms:modified>
</cp:coreProperties>
</file>