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«ЦІНОВА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“Природний газ (код ДК 021:2015 – 09120000-6. Газове паливо)”</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46" w:type="dxa"/>
        <w:jc w:val="center"/>
        <w:tblInd w:w="0" w:type="dxa"/>
        <w:tblLayout w:type="fixed"/>
        <w:tblCellMar>
          <w:top w:w="0" w:type="dxa"/>
          <w:start w:w="5" w:type="dxa"/>
          <w:bottom w:w="0" w:type="dxa"/>
          <w:end w:w="5" w:type="dxa"/>
        </w:tblCellMar>
      </w:tblPr>
      <w:tblGrid>
        <w:gridCol w:w="3060"/>
        <w:gridCol w:w="1815"/>
        <w:gridCol w:w="1644"/>
        <w:gridCol w:w="1700"/>
        <w:gridCol w:w="2127"/>
      </w:tblGrid>
      <w:tr>
        <w:trPr>
          <w:trHeight w:val="1156" w:hRule="atLeast"/>
          <w:cantSplit w:val="true"/>
        </w:trPr>
        <w:tc>
          <w:tcPr>
            <w:tcW w:w="3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t xml:space="preserve">Найменування </w:t>
            </w:r>
            <w:r>
              <w:rPr>
                <w:rFonts w:cs="Times New Roman" w:ascii="Times New Roman" w:hAnsi="Times New Roman"/>
                <w:shd w:fill="auto" w:val="clear"/>
                <w:lang w:val="uk-UA"/>
              </w:rPr>
              <w:t>товару</w:t>
            </w:r>
          </w:p>
        </w:tc>
        <w:tc>
          <w:tcPr>
            <w:tcW w:w="1815"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bCs/>
                <w:shd w:fill="auto" w:val="clear"/>
                <w:lang w:val="uk-UA"/>
              </w:rPr>
            </w:pPr>
            <w:r>
              <w:rPr>
                <w:rFonts w:cs="Times New Roman" w:ascii="Times New Roman" w:hAnsi="Times New Roman"/>
                <w:bCs/>
                <w:shd w:fill="auto" w:val="clear"/>
                <w:lang w:val="uk-UA"/>
              </w:rPr>
              <w:t>Одиниця</w:t>
            </w:r>
          </w:p>
          <w:p>
            <w:pPr>
              <w:pStyle w:val="Normal"/>
              <w:widowControl w:val="false"/>
              <w:bidi w:val="0"/>
              <w:jc w:val="center"/>
              <w:rPr>
                <w:rFonts w:ascii="Times New Roman" w:hAnsi="Times New Roman" w:cs="Times New Roman"/>
                <w:bCs/>
                <w:shd w:fill="auto" w:val="clear"/>
                <w:lang w:val="uk-UA"/>
              </w:rPr>
            </w:pPr>
            <w:r>
              <w:rPr>
                <w:rFonts w:cs="Times New Roman" w:ascii="Times New Roman" w:hAnsi="Times New Roman"/>
                <w:bCs/>
                <w:shd w:fill="auto" w:val="clear"/>
                <w:lang w:val="uk-UA"/>
              </w:rPr>
              <w:t>виміру</w:t>
            </w:r>
          </w:p>
        </w:tc>
        <w:tc>
          <w:tcPr>
            <w:tcW w:w="16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center"/>
              <w:rPr>
                <w:rFonts w:ascii="Times New Roman" w:hAnsi="Times New Roman" w:cs="Times New Roman"/>
                <w:bCs/>
                <w:shd w:fill="auto" w:val="clear"/>
                <w:lang w:val="uk-UA"/>
              </w:rPr>
            </w:pPr>
            <w:r>
              <w:rPr>
                <w:rFonts w:cs="Times New Roman" w:ascii="Times New Roman" w:hAnsi="Times New Roman"/>
                <w:bCs/>
                <w:shd w:fill="auto" w:val="clear"/>
                <w:lang w:val="uk-UA"/>
              </w:rPr>
              <w:t>Кількість</w:t>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center"/>
              <w:rPr/>
            </w:pPr>
            <w:r>
              <w:rPr>
                <w:rFonts w:cs="Times New Roman" w:ascii="Times New Roman" w:hAnsi="Times New Roman"/>
                <w:shd w:fill="auto" w:val="clear"/>
                <w:lang w:val="uk-UA"/>
              </w:rPr>
              <w:t xml:space="preserve">Ціна за </w:t>
            </w:r>
            <w:r>
              <w:rPr>
                <w:rFonts w:cs="Times New Roman" w:ascii="Times New Roman" w:hAnsi="Times New Roman"/>
                <w:shd w:fill="auto" w:val="clear"/>
                <w:lang w:val="uk-UA"/>
              </w:rPr>
              <w:t>од.</w:t>
            </w:r>
          </w:p>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i/>
                <w:u w:val="single"/>
                <w:shd w:fill="auto" w:val="clear"/>
                <w:lang w:val="uk-UA"/>
              </w:rPr>
              <w:t>(з урахуванням ПДВ</w:t>
            </w:r>
            <w:r>
              <w:rPr>
                <w:rFonts w:cs="Times New Roman" w:ascii="Times New Roman" w:hAnsi="Times New Roman"/>
                <w:i/>
                <w:shd w:fill="auto" w:val="clear"/>
                <w:lang w:val="uk-UA"/>
              </w:rPr>
              <w:t>)</w:t>
            </w:r>
            <w:r>
              <w:rPr>
                <w:rFonts w:cs="Times New Roman" w:ascii="Times New Roman" w:hAnsi="Times New Roman"/>
                <w:shd w:fill="auto" w:val="clear"/>
                <w:lang w:val="uk-UA"/>
              </w:rPr>
              <w:t>, грн.</w:t>
            </w:r>
          </w:p>
        </w:tc>
        <w:tc>
          <w:tcPr>
            <w:tcW w:w="2127"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t>Вартість  пропозиції</w:t>
            </w:r>
          </w:p>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t xml:space="preserve"> </w:t>
            </w:r>
            <w:r>
              <w:rPr>
                <w:rFonts w:cs="Times New Roman" w:ascii="Times New Roman" w:hAnsi="Times New Roman"/>
                <w:i/>
                <w:u w:val="single"/>
                <w:shd w:fill="auto" w:val="clear"/>
                <w:lang w:val="uk-UA"/>
              </w:rPr>
              <w:t>(без урахування ПДВ)</w:t>
            </w:r>
            <w:r>
              <w:rPr>
                <w:rFonts w:cs="Times New Roman" w:ascii="Times New Roman" w:hAnsi="Times New Roman"/>
                <w:shd w:fill="auto" w:val="clear"/>
                <w:lang w:val="uk-UA"/>
              </w:rPr>
              <w:t>, грн.</w:t>
            </w:r>
          </w:p>
        </w:tc>
      </w:tr>
      <w:tr>
        <w:trPr>
          <w:trHeight w:val="1156" w:hRule="atLeast"/>
          <w:cantSplit w:val="true"/>
        </w:trPr>
        <w:tc>
          <w:tcPr>
            <w:tcW w:w="306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c>
          <w:tcPr>
            <w:tcW w:w="1815"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c>
          <w:tcPr>
            <w:tcW w:w="16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center"/>
              <w:rPr>
                <w:rFonts w:ascii="Times New Roman" w:hAnsi="Times New Roman" w:cs="Times New Roman"/>
                <w:bCs/>
                <w:shd w:fill="auto" w:val="clear"/>
                <w:lang w:val="uk-UA"/>
              </w:rPr>
            </w:pPr>
            <w:r>
              <w:rPr>
                <w:rFonts w:cs="Times New Roman" w:ascii="Times New Roman" w:hAnsi="Times New Roman"/>
                <w:bCs/>
                <w:shd w:fill="auto" w:val="clear"/>
                <w:lang w:val="uk-UA"/>
              </w:rPr>
            </w:r>
          </w:p>
        </w:tc>
        <w:tc>
          <w:tcPr>
            <w:tcW w:w="1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c>
          <w:tcPr>
            <w:tcW w:w="2127"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r>
      <w:tr>
        <w:trPr>
          <w:trHeight w:val="350" w:hRule="atLeast"/>
          <w:cantSplit w:val="true"/>
        </w:trPr>
        <w:tc>
          <w:tcPr>
            <w:tcW w:w="8219" w:type="dxa"/>
            <w:gridSpan w:val="4"/>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both"/>
              <w:rPr>
                <w:shd w:fill="auto" w:val="clear"/>
                <w:lang w:val="uk-UA"/>
              </w:rPr>
            </w:pPr>
            <w:r>
              <w:rPr>
                <w:rFonts w:cs="Times New Roman" w:ascii="Times New Roman" w:hAnsi="Times New Roman"/>
                <w:b/>
                <w:shd w:fill="auto" w:val="clear"/>
                <w:lang w:val="uk-UA"/>
              </w:rPr>
              <w:t xml:space="preserve">Загальна вартість пропозиції  </w:t>
            </w:r>
            <w:r>
              <w:rPr>
                <w:rFonts w:cs="Times New Roman" w:ascii="Times New Roman" w:hAnsi="Times New Roman"/>
                <w:shd w:fill="auto" w:val="clear"/>
                <w:lang w:val="uk-UA"/>
              </w:rPr>
              <w:t>(з урахуванням ПДВ), в т. ч. вартість замовленої потужності (тариф на послуги транспортування природного газу для внутрішньої точки виходу з газотранспортної системи) за 1000 кубічних метрів на добу, грн.</w:t>
            </w:r>
            <w:r>
              <w:rPr>
                <w:shd w:fill="auto" w:val="clear"/>
                <w:lang w:val="uk-UA"/>
              </w:rPr>
              <w:t xml:space="preserve"> </w:t>
            </w:r>
          </w:p>
        </w:tc>
        <w:tc>
          <w:tcPr>
            <w:tcW w:w="2127"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r>
      <w:tr>
        <w:trPr>
          <w:trHeight w:val="257" w:hRule="atLeast"/>
          <w:cantSplit w:val="true"/>
        </w:trPr>
        <w:tc>
          <w:tcPr>
            <w:tcW w:w="8219" w:type="dxa"/>
            <w:gridSpan w:val="4"/>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jc w:val="start"/>
              <w:rPr>
                <w:rFonts w:ascii="Times New Roman" w:hAnsi="Times New Roman" w:cs="Times New Roman"/>
                <w:b/>
                <w:shd w:fill="auto" w:val="clear"/>
                <w:lang w:val="uk-UA"/>
              </w:rPr>
            </w:pPr>
            <w:r>
              <w:rPr>
                <w:rFonts w:cs="Times New Roman" w:ascii="Times New Roman" w:hAnsi="Times New Roman"/>
                <w:b/>
                <w:shd w:fill="auto" w:val="clear"/>
                <w:lang w:val="uk-UA"/>
              </w:rPr>
              <w:t xml:space="preserve">ПДВ, грн.    </w:t>
            </w:r>
          </w:p>
        </w:tc>
        <w:tc>
          <w:tcPr>
            <w:tcW w:w="2127"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r>
      <w:tr>
        <w:trPr>
          <w:trHeight w:val="387" w:hRule="atLeast"/>
          <w:cantSplit w:val="true"/>
        </w:trPr>
        <w:tc>
          <w:tcPr>
            <w:tcW w:w="8219" w:type="dxa"/>
            <w:gridSpan w:val="4"/>
            <w:tcBorders>
              <w:top w:val="single" w:sz="4" w:space="0" w:color="000000"/>
              <w:start w:val="single" w:sz="4" w:space="0" w:color="000000"/>
              <w:bottom w:val="single" w:sz="4" w:space="0" w:color="000000"/>
              <w:end w:val="single" w:sz="4" w:space="0" w:color="000000"/>
            </w:tcBorders>
          </w:tcPr>
          <w:p>
            <w:pPr>
              <w:pStyle w:val="Normal"/>
              <w:widowControl w:val="false"/>
              <w:bidi w:val="0"/>
              <w:jc w:val="both"/>
              <w:rPr>
                <w:rFonts w:ascii="Times New Roman" w:hAnsi="Times New Roman" w:cs="Times New Roman"/>
                <w:b/>
                <w:shd w:fill="auto" w:val="clear"/>
                <w:lang w:val="uk-UA"/>
              </w:rPr>
            </w:pPr>
            <w:r>
              <w:rPr>
                <w:rFonts w:cs="Times New Roman" w:ascii="Times New Roman" w:hAnsi="Times New Roman"/>
                <w:b/>
                <w:shd w:fill="auto" w:val="clear"/>
                <w:lang w:val="uk-UA"/>
              </w:rPr>
              <w:t>Загальна вартість пропозиції  (з урахуванням ПДВ), грн.</w:t>
            </w:r>
          </w:p>
        </w:tc>
        <w:tc>
          <w:tcPr>
            <w:tcW w:w="2127" w:type="dxa"/>
            <w:tcBorders>
              <w:top w:val="single" w:sz="4" w:space="0" w:color="000000"/>
              <w:start w:val="single" w:sz="4" w:space="0" w:color="000000"/>
              <w:bottom w:val="single" w:sz="4" w:space="0" w:color="000000"/>
              <w:end w:val="single" w:sz="4" w:space="0" w:color="000000"/>
            </w:tcBorders>
            <w:tcMar>
              <w:top w:w="20" w:type="dxa"/>
              <w:start w:w="20" w:type="dxa"/>
              <w:end w:w="20" w:type="dxa"/>
            </w:tcMar>
            <w:vAlign w:val="center"/>
          </w:tcPr>
          <w:p>
            <w:pPr>
              <w:pStyle w:val="Normal"/>
              <w:widowControl w:val="false"/>
              <w:bidi w:val="0"/>
              <w:jc w:val="center"/>
              <w:rPr>
                <w:rFonts w:ascii="Times New Roman" w:hAnsi="Times New Roman" w:cs="Times New Roman"/>
                <w:shd w:fill="auto" w:val="clear"/>
                <w:lang w:val="uk-UA"/>
              </w:rPr>
            </w:pPr>
            <w:r>
              <w:rPr>
                <w:rFonts w:cs="Times New Roman" w:ascii="Times New Roman" w:hAnsi="Times New Roman"/>
                <w:shd w:fill="auto" w:val="clear"/>
                <w:lang w:val="uk-UA"/>
              </w:rPr>
            </w:r>
          </w:p>
        </w:tc>
      </w:tr>
    </w:tbl>
    <w:p>
      <w:pPr>
        <w:pStyle w:val="Normal"/>
        <w:suppressAutoHyphens w:val="true"/>
        <w:bidi w:val="0"/>
        <w:spacing w:lineRule="auto" w:line="240" w:before="0" w:after="0"/>
        <w:ind w:hanging="0" w:start="0" w:end="0"/>
        <w:jc w:val="both"/>
        <w:rPr>
          <w:rFonts w:ascii="Times New Roman" w:hAnsi="Times New Roman" w:eastAsia="Times New Roman" w:cs="Times New Roman"/>
          <w:b w:val="false"/>
          <w:bCs w:val="false"/>
          <w:i w:val="false"/>
          <w:i w:val="false"/>
          <w:iCs/>
          <w:color w:val="auto"/>
          <w:spacing w:val="-3"/>
          <w:sz w:val="24"/>
          <w:szCs w:val="24"/>
          <w:shd w:fill="auto" w:val="clear"/>
          <w:lang w:val="uk-UA" w:eastAsia="ar-SA"/>
        </w:rPr>
      </w:pPr>
      <w:r>
        <w:rPr>
          <w:rFonts w:eastAsia="Times New Roman" w:cs="Times New Roman" w:ascii="Times New Roman" w:hAnsi="Times New Roman"/>
          <w:b w:val="false"/>
          <w:bCs w:val="false"/>
          <w:i w:val="false"/>
          <w:iCs/>
          <w:color w:val="000000"/>
          <w:spacing w:val="-3"/>
          <w:sz w:val="24"/>
          <w:szCs w:val="24"/>
          <w:shd w:fill="auto" w:val="clear"/>
          <w:lang w:val="uk-UA" w:eastAsia="ar-SA"/>
        </w:rPr>
        <w:t>Вартість замовленої потужності за 1000 кубічних метрів на добу становить -       _________ грн. з ПДВ</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firstLine="360" w:start="0" w:end="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firstLine="360" w:start="0" w:end="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i/>
          <w:i/>
          <w:iCs/>
          <w:sz w:val="20"/>
          <w:szCs w:val="20"/>
        </w:rPr>
      </w:pPr>
      <w:r>
        <w:rPr>
          <w:i/>
          <w:iCs/>
          <w:sz w:val="20"/>
          <w:szCs w:val="20"/>
        </w:rPr>
        <w:t>2. Внесення в форму «Цінова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2</Pages>
  <Words>579</Words>
  <Characters>3863</Characters>
  <CharactersWithSpaces>4477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