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D35060">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6D173A" w:rsidRPr="006D173A">
        <w:rPr>
          <w:rFonts w:ascii="Times New Roman" w:eastAsia="Times New Roman" w:hAnsi="Times New Roman" w:cs="Times New Roman"/>
          <w:b/>
          <w:sz w:val="24"/>
          <w:szCs w:val="24"/>
          <w:lang w:val="uk-UA" w:eastAsia="ru-RU"/>
        </w:rPr>
        <w:t xml:space="preserve">Лабораторні реактиви (ДК 021:2015 33690000-3 Лікарські засоби різні (33696500-0 Лабораторні реактиви)) (код НКМВ 024:2023 30591 - Набір реагентів для вимірювання </w:t>
      </w:r>
      <w:proofErr w:type="spellStart"/>
      <w:r w:rsidR="006D173A" w:rsidRPr="006D173A">
        <w:rPr>
          <w:rFonts w:ascii="Times New Roman" w:eastAsia="Times New Roman" w:hAnsi="Times New Roman" w:cs="Times New Roman"/>
          <w:b/>
          <w:sz w:val="24"/>
          <w:szCs w:val="24"/>
          <w:lang w:val="uk-UA" w:eastAsia="ru-RU"/>
        </w:rPr>
        <w:t>протромбінового</w:t>
      </w:r>
      <w:proofErr w:type="spellEnd"/>
      <w:r w:rsidR="006D173A" w:rsidRPr="006D173A">
        <w:rPr>
          <w:rFonts w:ascii="Times New Roman" w:eastAsia="Times New Roman" w:hAnsi="Times New Roman" w:cs="Times New Roman"/>
          <w:b/>
          <w:sz w:val="24"/>
          <w:szCs w:val="24"/>
          <w:lang w:val="uk-UA" w:eastAsia="ru-RU"/>
        </w:rPr>
        <w:t xml:space="preserve"> часу (ПЧ) IVD; 55981 - Активований частковий </w:t>
      </w:r>
      <w:proofErr w:type="spellStart"/>
      <w:r w:rsidR="006D173A" w:rsidRPr="006D173A">
        <w:rPr>
          <w:rFonts w:ascii="Times New Roman" w:eastAsia="Times New Roman" w:hAnsi="Times New Roman" w:cs="Times New Roman"/>
          <w:b/>
          <w:sz w:val="24"/>
          <w:szCs w:val="24"/>
          <w:lang w:val="uk-UA" w:eastAsia="ru-RU"/>
        </w:rPr>
        <w:t>тромбопластиновий</w:t>
      </w:r>
      <w:proofErr w:type="spellEnd"/>
      <w:r w:rsidR="006D173A" w:rsidRPr="006D173A">
        <w:rPr>
          <w:rFonts w:ascii="Times New Roman" w:eastAsia="Times New Roman" w:hAnsi="Times New Roman" w:cs="Times New Roman"/>
          <w:b/>
          <w:sz w:val="24"/>
          <w:szCs w:val="24"/>
          <w:lang w:val="uk-UA" w:eastAsia="ru-RU"/>
        </w:rPr>
        <w:t xml:space="preserve"> час ІВД, набір, аналіз утворення згустку; 30593 - Кальцію хлорид. Реагент для аналізу утворення згустку IVD; 55997 - Фібриноген (фактор I) ІВД, набір, аналіз утворення згустку; 55997 - Фібриноген (фактор I) ІВД, набір, аналіз утворення згустку (розчин </w:t>
      </w:r>
      <w:proofErr w:type="spellStart"/>
      <w:r w:rsidR="006D173A" w:rsidRPr="006D173A">
        <w:rPr>
          <w:rFonts w:ascii="Times New Roman" w:eastAsia="Times New Roman" w:hAnsi="Times New Roman" w:cs="Times New Roman"/>
          <w:b/>
          <w:sz w:val="24"/>
          <w:szCs w:val="24"/>
          <w:lang w:val="uk-UA" w:eastAsia="ru-RU"/>
        </w:rPr>
        <w:t>імідазолу</w:t>
      </w:r>
      <w:proofErr w:type="spellEnd"/>
      <w:r w:rsidR="006D173A" w:rsidRPr="006D173A">
        <w:rPr>
          <w:rFonts w:ascii="Times New Roman" w:eastAsia="Times New Roman" w:hAnsi="Times New Roman" w:cs="Times New Roman"/>
          <w:b/>
          <w:sz w:val="24"/>
          <w:szCs w:val="24"/>
          <w:lang w:val="uk-UA" w:eastAsia="ru-RU"/>
        </w:rPr>
        <w:t xml:space="preserve">); 61032 - Кювета для лабораторного аналізатора ІВД, одноразового використання; 55996 - Численні фактори згортання ІВД, набір, аналіз утворення згустку; 53027 - </w:t>
      </w:r>
      <w:proofErr w:type="spellStart"/>
      <w:r w:rsidR="006D173A" w:rsidRPr="006D173A">
        <w:rPr>
          <w:rFonts w:ascii="Times New Roman" w:eastAsia="Times New Roman" w:hAnsi="Times New Roman" w:cs="Times New Roman"/>
          <w:b/>
          <w:sz w:val="24"/>
          <w:szCs w:val="24"/>
          <w:lang w:val="uk-UA" w:eastAsia="ru-RU"/>
        </w:rPr>
        <w:t>Гамаглутамілтрансфераза</w:t>
      </w:r>
      <w:proofErr w:type="spellEnd"/>
      <w:r w:rsidR="006D173A" w:rsidRPr="006D173A">
        <w:rPr>
          <w:rFonts w:ascii="Times New Roman" w:eastAsia="Times New Roman" w:hAnsi="Times New Roman" w:cs="Times New Roman"/>
          <w:b/>
          <w:sz w:val="24"/>
          <w:szCs w:val="24"/>
          <w:lang w:val="uk-UA" w:eastAsia="ru-RU"/>
        </w:rPr>
        <w:t xml:space="preserve"> (ГГТ) IVD (діагностика </w:t>
      </w:r>
      <w:proofErr w:type="spellStart"/>
      <w:r w:rsidR="006D173A" w:rsidRPr="006D173A">
        <w:rPr>
          <w:rFonts w:ascii="Times New Roman" w:eastAsia="Times New Roman" w:hAnsi="Times New Roman" w:cs="Times New Roman"/>
          <w:b/>
          <w:sz w:val="24"/>
          <w:szCs w:val="24"/>
          <w:lang w:val="uk-UA" w:eastAsia="ru-RU"/>
        </w:rPr>
        <w:t>in</w:t>
      </w:r>
      <w:proofErr w:type="spellEnd"/>
      <w:r w:rsidR="006D173A" w:rsidRPr="006D173A">
        <w:rPr>
          <w:rFonts w:ascii="Times New Roman" w:eastAsia="Times New Roman" w:hAnsi="Times New Roman" w:cs="Times New Roman"/>
          <w:b/>
          <w:sz w:val="24"/>
          <w:szCs w:val="24"/>
          <w:lang w:val="uk-UA" w:eastAsia="ru-RU"/>
        </w:rPr>
        <w:t xml:space="preserve"> </w:t>
      </w:r>
      <w:proofErr w:type="spellStart"/>
      <w:r w:rsidR="006D173A" w:rsidRPr="006D173A">
        <w:rPr>
          <w:rFonts w:ascii="Times New Roman" w:eastAsia="Times New Roman" w:hAnsi="Times New Roman" w:cs="Times New Roman"/>
          <w:b/>
          <w:sz w:val="24"/>
          <w:szCs w:val="24"/>
          <w:lang w:val="uk-UA" w:eastAsia="ru-RU"/>
        </w:rPr>
        <w:t>vitro</w:t>
      </w:r>
      <w:proofErr w:type="spellEnd"/>
      <w:r w:rsidR="006D173A" w:rsidRPr="006D173A">
        <w:rPr>
          <w:rFonts w:ascii="Times New Roman" w:eastAsia="Times New Roman" w:hAnsi="Times New Roman" w:cs="Times New Roman"/>
          <w:b/>
          <w:sz w:val="24"/>
          <w:szCs w:val="24"/>
          <w:lang w:val="uk-UA" w:eastAsia="ru-RU"/>
        </w:rPr>
        <w:t>), набір, ферментний спектрофотометричний аналіз))</w:t>
      </w:r>
      <w:r w:rsidR="006D173A">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C0EF2"/>
    <w:rsid w:val="00121C05"/>
    <w:rsid w:val="00152813"/>
    <w:rsid w:val="001567A8"/>
    <w:rsid w:val="0019603B"/>
    <w:rsid w:val="001D6F31"/>
    <w:rsid w:val="001E04F7"/>
    <w:rsid w:val="00201EDA"/>
    <w:rsid w:val="00266159"/>
    <w:rsid w:val="0028450A"/>
    <w:rsid w:val="003120EF"/>
    <w:rsid w:val="00335341"/>
    <w:rsid w:val="00364C74"/>
    <w:rsid w:val="00381511"/>
    <w:rsid w:val="00386F01"/>
    <w:rsid w:val="00390FF0"/>
    <w:rsid w:val="00442941"/>
    <w:rsid w:val="0044634E"/>
    <w:rsid w:val="0049450F"/>
    <w:rsid w:val="004C661E"/>
    <w:rsid w:val="00515EE7"/>
    <w:rsid w:val="00551A8E"/>
    <w:rsid w:val="00585A61"/>
    <w:rsid w:val="005965CB"/>
    <w:rsid w:val="005B2133"/>
    <w:rsid w:val="00617F3D"/>
    <w:rsid w:val="00670361"/>
    <w:rsid w:val="006D173A"/>
    <w:rsid w:val="006E4C2B"/>
    <w:rsid w:val="00722504"/>
    <w:rsid w:val="007403A9"/>
    <w:rsid w:val="00780591"/>
    <w:rsid w:val="007F5F54"/>
    <w:rsid w:val="00822296"/>
    <w:rsid w:val="008663E1"/>
    <w:rsid w:val="00872BE8"/>
    <w:rsid w:val="008907A8"/>
    <w:rsid w:val="00936081"/>
    <w:rsid w:val="00983E07"/>
    <w:rsid w:val="00990373"/>
    <w:rsid w:val="009A5133"/>
    <w:rsid w:val="009C6253"/>
    <w:rsid w:val="009D42D4"/>
    <w:rsid w:val="00A10F36"/>
    <w:rsid w:val="00A2074E"/>
    <w:rsid w:val="00A25A6F"/>
    <w:rsid w:val="00A54901"/>
    <w:rsid w:val="00B721EF"/>
    <w:rsid w:val="00B93EBF"/>
    <w:rsid w:val="00B94B35"/>
    <w:rsid w:val="00BC24BE"/>
    <w:rsid w:val="00C00F7B"/>
    <w:rsid w:val="00C571D7"/>
    <w:rsid w:val="00C74C24"/>
    <w:rsid w:val="00C878F2"/>
    <w:rsid w:val="00CA40A2"/>
    <w:rsid w:val="00CA481B"/>
    <w:rsid w:val="00D0646A"/>
    <w:rsid w:val="00D35060"/>
    <w:rsid w:val="00D80A31"/>
    <w:rsid w:val="00E40AF2"/>
    <w:rsid w:val="00E44CA6"/>
    <w:rsid w:val="00E5489F"/>
    <w:rsid w:val="00E759E1"/>
    <w:rsid w:val="00E90172"/>
    <w:rsid w:val="00EB3DB4"/>
    <w:rsid w:val="00EF4684"/>
    <w:rsid w:val="00F17796"/>
    <w:rsid w:val="00F377AA"/>
    <w:rsid w:val="00F461DD"/>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2020-12-28T09:15:00Z</cp:lastPrinted>
  <dcterms:created xsi:type="dcterms:W3CDTF">2021-12-10T11:45:00Z</dcterms:created>
  <dcterms:modified xsi:type="dcterms:W3CDTF">2024-04-09T12:03:00Z</dcterms:modified>
</cp:coreProperties>
</file>