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right"/>
        <w:rPr>
          <w:b/>
          <w:color w:val="000000"/>
        </w:rPr>
      </w:pPr>
      <w:r>
        <w:rPr>
          <w:b/>
          <w:color w:val="000000"/>
        </w:rPr>
        <w:t xml:space="preserve">Додаток 2 </w:t>
      </w:r>
      <w:r>
        <w:rPr>
          <w:b/>
          <w:color w:val="000000"/>
        </w:rPr>
        <w:br w:type="textWrapping"/>
      </w:r>
      <w:r>
        <w:rPr>
          <w:b/>
          <w:color w:val="000000"/>
        </w:rPr>
        <w:t>до тендерної документації</w:t>
      </w:r>
    </w:p>
    <w:p>
      <w:pPr>
        <w:pStyle w:val="6"/>
        <w:jc w:val="center"/>
        <w:rPr>
          <w:b/>
          <w:color w:val="000000"/>
        </w:rPr>
      </w:pPr>
      <w:r>
        <w:rPr>
          <w:b/>
          <w:color w:val="000000"/>
        </w:rPr>
        <w:t>ТЕХНІЧНІ, ЯКІСНІ, КІЛЬКІСНІ ВИМОГИ ДО ПРЕДМЕТА ЗАКУПІВЛІ</w:t>
      </w:r>
      <w:r>
        <w:rPr>
          <w:b/>
          <w:color w:val="000000"/>
        </w:rPr>
        <w:br w:type="textWrapping"/>
      </w:r>
      <w:r>
        <w:rPr>
          <w:rFonts w:hint="default" w:ascii="Times New Roman Regular" w:hAnsi="Times New Roman Regular"/>
          <w:b/>
          <w:bCs/>
          <w:sz w:val="24"/>
          <w:szCs w:val="24"/>
          <w:highlight w:val="none"/>
          <w:lang w:val="uk-UA"/>
        </w:rPr>
        <w:t>Живильні середовища, за кодом ДК 021-2015: 24930000-2 – Фотохімікати</w:t>
      </w:r>
    </w:p>
    <w:p>
      <w:pPr>
        <w:pStyle w:val="8"/>
        <w:jc w:val="both"/>
        <w:rPr>
          <w:szCs w:val="28"/>
          <w:lang w:val="uk-UA"/>
        </w:rPr>
      </w:pPr>
      <w:r>
        <w:rPr>
          <w:szCs w:val="28"/>
          <w:lang w:val="uk-UA"/>
        </w:rPr>
        <w:t>1. Технічні, якісні характеристики предмета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та повинні</w:t>
      </w:r>
      <w:r>
        <w:rPr>
          <w:rFonts w:hint="default"/>
          <w:szCs w:val="28"/>
          <w:lang w:val="uk-UA"/>
        </w:rPr>
        <w:t xml:space="preserve"> </w:t>
      </w:r>
      <w:r>
        <w:rPr>
          <w:szCs w:val="28"/>
          <w:lang w:val="uk-UA"/>
        </w:rPr>
        <w:t>передбачати</w:t>
      </w:r>
      <w:r>
        <w:rPr>
          <w:rFonts w:hint="default"/>
          <w:szCs w:val="28"/>
          <w:lang w:val="uk-UA"/>
        </w:rPr>
        <w:t xml:space="preserve"> </w:t>
      </w:r>
      <w:r>
        <w:rPr>
          <w:szCs w:val="28"/>
          <w:lang w:val="uk-UA"/>
        </w:rPr>
        <w:t>необхідність</w:t>
      </w:r>
      <w:r>
        <w:rPr>
          <w:rFonts w:hint="default"/>
          <w:szCs w:val="28"/>
          <w:lang w:val="uk-UA"/>
        </w:rPr>
        <w:t xml:space="preserve"> </w:t>
      </w:r>
      <w:r>
        <w:rPr>
          <w:szCs w:val="28"/>
          <w:lang w:val="uk-UA"/>
        </w:rPr>
        <w:t>застосування</w:t>
      </w:r>
      <w:r>
        <w:rPr>
          <w:rFonts w:hint="default"/>
          <w:szCs w:val="28"/>
          <w:lang w:val="uk-UA"/>
        </w:rPr>
        <w:t xml:space="preserve"> </w:t>
      </w:r>
      <w:r>
        <w:rPr>
          <w:szCs w:val="28"/>
          <w:lang w:val="uk-UA"/>
        </w:rPr>
        <w:t>заходів</w:t>
      </w:r>
      <w:r>
        <w:rPr>
          <w:rFonts w:hint="default"/>
          <w:szCs w:val="28"/>
          <w:lang w:val="uk-UA"/>
        </w:rPr>
        <w:t xml:space="preserve"> </w:t>
      </w:r>
      <w:r>
        <w:rPr>
          <w:szCs w:val="28"/>
          <w:lang w:val="uk-UA"/>
        </w:rPr>
        <w:t>із</w:t>
      </w:r>
      <w:r>
        <w:rPr>
          <w:rFonts w:hint="default"/>
          <w:szCs w:val="28"/>
          <w:lang w:val="uk-UA"/>
        </w:rPr>
        <w:t xml:space="preserve"> </w:t>
      </w:r>
      <w:r>
        <w:rPr>
          <w:szCs w:val="28"/>
          <w:lang w:val="uk-UA"/>
        </w:rPr>
        <w:t>захисту</w:t>
      </w:r>
      <w:r>
        <w:rPr>
          <w:rFonts w:hint="default"/>
          <w:szCs w:val="28"/>
          <w:lang w:val="uk-UA"/>
        </w:rPr>
        <w:t xml:space="preserve"> </w:t>
      </w:r>
      <w:r>
        <w:rPr>
          <w:szCs w:val="28"/>
          <w:lang w:val="uk-UA"/>
        </w:rPr>
        <w:t>довкілля.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зокрема, надати копії сертифікатів від виробника (у разі надання сертифікату іноземною мовою, він повинен мати переклад українською мовою), які офіційно підтверджують якість товарів.</w:t>
      </w:r>
    </w:p>
    <w:p>
      <w:pPr>
        <w:pStyle w:val="8"/>
        <w:jc w:val="both"/>
        <w:rPr>
          <w:szCs w:val="28"/>
          <w:lang w:val="uk-UA"/>
        </w:rPr>
      </w:pPr>
      <w:r>
        <w:rPr>
          <w:szCs w:val="28"/>
          <w:lang w:val="uk-UA"/>
        </w:rPr>
        <w:t>2. Запропонований учасником товар згідно технічного завдання за технічними властивостями повинен супроводжуватись при поставці сертифікатами якості або іншими документами, що підтверджують їх якість та інструкцією з його застосування.</w:t>
      </w:r>
    </w:p>
    <w:p>
      <w:pPr>
        <w:pStyle w:val="8"/>
        <w:jc w:val="both"/>
        <w:rPr>
          <w:szCs w:val="28"/>
          <w:lang w:val="uk-UA"/>
        </w:rPr>
      </w:pPr>
      <w:r>
        <w:rPr>
          <w:szCs w:val="28"/>
          <w:lang w:val="uk-UA"/>
        </w:rPr>
        <w:t>3. Учасник повинен підтвердити можливість поставки визначеного переліку товарів згідно переліку у необхідній кількості, зі строками придатності та в терміни, визначенні цією документацією.</w:t>
      </w:r>
    </w:p>
    <w:p>
      <w:pPr>
        <w:pStyle w:val="8"/>
        <w:jc w:val="both"/>
        <w:rPr>
          <w:szCs w:val="28"/>
          <w:lang w:val="uk-UA"/>
        </w:rPr>
      </w:pPr>
      <w:r>
        <w:rPr>
          <w:szCs w:val="28"/>
          <w:lang w:val="uk-UA"/>
        </w:rPr>
        <w:t>4. Учасник має право подати еквівалент товару запропонованого Замовником у медико -технічних вимогах. У разі подання еквіваленту товару, учасник повинен довести, що такий товар являється аналогом запропонованого замовником товару та мати відповідне документальне підтвердження, тощо.</w:t>
      </w:r>
    </w:p>
    <w:p>
      <w:pPr>
        <w:pStyle w:val="8"/>
        <w:jc w:val="both"/>
        <w:rPr>
          <w:szCs w:val="28"/>
          <w:lang w:val="uk-UA"/>
        </w:rPr>
      </w:pPr>
      <w:r>
        <w:rPr>
          <w:rFonts w:hint="default"/>
          <w:szCs w:val="28"/>
          <w:lang w:val="uk-UA"/>
        </w:rPr>
        <w:t>5</w:t>
      </w:r>
      <w:r>
        <w:rPr>
          <w:szCs w:val="28"/>
          <w:lang w:val="uk-UA"/>
        </w:rPr>
        <w:t>. Графік поставок: протягом трьох-п’яти днів з дня направлення замовником постачальнику заявки на поставку продукції.</w:t>
      </w:r>
      <w:bookmarkStart w:id="0" w:name="_GoBack"/>
      <w:bookmarkEnd w:id="0"/>
    </w:p>
    <w:tbl>
      <w:tblPr>
        <w:tblStyle w:val="3"/>
        <w:tblpPr w:leftFromText="180" w:rightFromText="180" w:vertAnchor="text" w:horzAnchor="page" w:tblpX="729" w:tblpY="420"/>
        <w:tblOverlap w:val="never"/>
        <w:tblW w:w="10662" w:type="dxa"/>
        <w:tblInd w:w="0" w:type="dxa"/>
        <w:tblLayout w:type="fixed"/>
        <w:tblCellMar>
          <w:top w:w="0" w:type="dxa"/>
          <w:left w:w="10" w:type="dxa"/>
          <w:bottom w:w="0" w:type="dxa"/>
          <w:right w:w="10" w:type="dxa"/>
        </w:tblCellMar>
      </w:tblPr>
      <w:tblGrid>
        <w:gridCol w:w="567"/>
        <w:gridCol w:w="1808"/>
        <w:gridCol w:w="6280"/>
        <w:gridCol w:w="843"/>
        <w:gridCol w:w="1164"/>
      </w:tblGrid>
      <w:tr>
        <w:trPr>
          <w:trHeight w:val="1267" w:hRule="exac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ind w:left="140" w:firstLine="20"/>
              <w:jc w:val="center"/>
              <w:rPr>
                <w:sz w:val="24"/>
                <w:szCs w:val="24"/>
              </w:rPr>
            </w:pPr>
            <w:r>
              <w:rPr>
                <w:b/>
                <w:bCs/>
                <w:color w:val="000000"/>
                <w:sz w:val="24"/>
                <w:szCs w:val="24"/>
                <w:lang w:eastAsia="uk-UA" w:bidi="uk-UA"/>
              </w:rPr>
              <w:t>№ п/п</w:t>
            </w:r>
          </w:p>
        </w:tc>
        <w:tc>
          <w:tcPr>
            <w:tcW w:w="18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sz w:val="24"/>
                <w:szCs w:val="24"/>
              </w:rPr>
            </w:pPr>
            <w:r>
              <w:rPr>
                <w:b/>
                <w:bCs/>
                <w:color w:val="000000"/>
                <w:sz w:val="24"/>
                <w:szCs w:val="24"/>
                <w:lang w:eastAsia="uk-UA" w:bidi="uk-UA"/>
              </w:rPr>
              <w:t>Найменування товару</w:t>
            </w:r>
          </w:p>
        </w:tc>
        <w:tc>
          <w:tcPr>
            <w:tcW w:w="62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sz w:val="24"/>
                <w:szCs w:val="24"/>
              </w:rPr>
            </w:pPr>
            <w:r>
              <w:rPr>
                <w:b/>
                <w:bCs/>
                <w:color w:val="000000"/>
                <w:sz w:val="24"/>
                <w:szCs w:val="24"/>
                <w:lang w:eastAsia="uk-UA" w:bidi="uk-UA"/>
              </w:rPr>
              <w:t>Характеристика товару</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sz w:val="24"/>
                <w:szCs w:val="24"/>
              </w:rPr>
            </w:pPr>
            <w:r>
              <w:rPr>
                <w:b/>
                <w:bCs/>
                <w:color w:val="000000"/>
                <w:sz w:val="24"/>
                <w:szCs w:val="24"/>
                <w:lang w:eastAsia="uk-UA" w:bidi="uk-UA"/>
              </w:rPr>
              <w:t>Одиниця виміру</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sz w:val="24"/>
                <w:szCs w:val="24"/>
              </w:rPr>
            </w:pPr>
            <w:r>
              <w:rPr>
                <w:b/>
                <w:bCs/>
                <w:color w:val="000000"/>
                <w:sz w:val="24"/>
                <w:szCs w:val="24"/>
                <w:lang w:eastAsia="uk-UA" w:bidi="uk-UA"/>
              </w:rPr>
              <w:t>Кількість</w:t>
            </w:r>
          </w:p>
        </w:tc>
      </w:tr>
      <w:tr>
        <w:trPr>
          <w:trHeight w:val="7610" w:hRule="exact"/>
        </w:trPr>
        <w:tc>
          <w:tcPr>
            <w:tcW w:w="567" w:type="dxa"/>
            <w:tcBorders>
              <w:top w:val="single" w:color="auto" w:sz="4" w:space="0"/>
              <w:left w:val="single" w:color="auto" w:sz="4" w:space="0"/>
            </w:tcBorders>
            <w:shd w:val="clear" w:color="auto" w:fill="auto"/>
            <w:vAlign w:val="center"/>
          </w:tcPr>
          <w:p>
            <w:pPr>
              <w:pStyle w:val="11"/>
              <w:ind w:firstLine="140"/>
              <w:jc w:val="center"/>
              <w:rPr>
                <w:sz w:val="24"/>
                <w:szCs w:val="24"/>
              </w:rPr>
            </w:pPr>
            <w:r>
              <w:rPr>
                <w:color w:val="000000"/>
                <w:sz w:val="24"/>
                <w:szCs w:val="24"/>
                <w:lang w:eastAsia="uk-UA" w:bidi="uk-UA"/>
              </w:rPr>
              <w:t>1</w:t>
            </w:r>
          </w:p>
        </w:tc>
        <w:tc>
          <w:tcPr>
            <w:tcW w:w="1808" w:type="dxa"/>
            <w:tcBorders>
              <w:top w:val="single" w:color="auto" w:sz="4" w:space="0"/>
              <w:left w:val="single" w:color="auto" w:sz="4" w:space="0"/>
            </w:tcBorders>
            <w:shd w:val="clear" w:color="auto" w:fill="auto"/>
            <w:vAlign w:val="center"/>
          </w:tcPr>
          <w:p>
            <w:pPr>
              <w:pStyle w:val="11"/>
              <w:ind w:right="124"/>
              <w:jc w:val="center"/>
              <w:rPr>
                <w:sz w:val="24"/>
                <w:szCs w:val="24"/>
              </w:rPr>
            </w:pPr>
            <w:r>
              <w:rPr>
                <w:color w:val="000000"/>
                <w:sz w:val="24"/>
                <w:szCs w:val="24"/>
                <w:lang w:eastAsia="uk-UA" w:bidi="uk-UA"/>
              </w:rPr>
              <w:t>Агар поживний (поживний агар)</w:t>
            </w:r>
          </w:p>
        </w:tc>
        <w:tc>
          <w:tcPr>
            <w:tcW w:w="6280" w:type="dxa"/>
            <w:tcBorders>
              <w:top w:val="single" w:color="auto" w:sz="4" w:space="0"/>
              <w:left w:val="single" w:color="auto" w:sz="4" w:space="0"/>
            </w:tcBorders>
            <w:shd w:val="clear" w:color="auto" w:fill="auto"/>
            <w:vAlign w:val="bottom"/>
          </w:tcPr>
          <w:p>
            <w:pPr>
              <w:pStyle w:val="11"/>
              <w:ind w:right="130"/>
              <w:jc w:val="both"/>
              <w:rPr>
                <w:sz w:val="24"/>
                <w:szCs w:val="24"/>
              </w:rPr>
            </w:pPr>
            <w:r>
              <w:rPr>
                <w:color w:val="000000"/>
                <w:sz w:val="24"/>
                <w:szCs w:val="24"/>
                <w:lang w:eastAsia="uk-UA" w:bidi="uk-UA"/>
              </w:rPr>
              <w:t>Використовується для культивування мікроорганізмів;</w:t>
            </w:r>
          </w:p>
          <w:p>
            <w:pPr>
              <w:pStyle w:val="11"/>
              <w:ind w:right="130"/>
              <w:jc w:val="both"/>
              <w:rPr>
                <w:sz w:val="24"/>
                <w:szCs w:val="24"/>
              </w:rPr>
            </w:pPr>
            <w:r>
              <w:rPr>
                <w:color w:val="000000"/>
                <w:sz w:val="24"/>
                <w:szCs w:val="24"/>
                <w:lang w:eastAsia="uk-UA" w:bidi="uk-UA"/>
              </w:rPr>
              <w:t>Сухий препарат у вигляді гомогенного сипучого порошку;.</w:t>
            </w:r>
          </w:p>
          <w:p>
            <w:pPr>
              <w:pStyle w:val="11"/>
              <w:ind w:right="130"/>
              <w:jc w:val="both"/>
              <w:rPr>
                <w:sz w:val="24"/>
                <w:szCs w:val="24"/>
              </w:rPr>
            </w:pPr>
            <w:r>
              <w:rPr>
                <w:color w:val="000000"/>
                <w:sz w:val="24"/>
                <w:szCs w:val="24"/>
                <w:lang w:eastAsia="uk-UA" w:bidi="uk-UA"/>
              </w:rPr>
              <w:t>Упаковка - пластиковий контейнер по 500г;</w:t>
            </w:r>
          </w:p>
          <w:p>
            <w:pPr>
              <w:pStyle w:val="11"/>
              <w:ind w:right="130"/>
              <w:jc w:val="both"/>
              <w:rPr>
                <w:sz w:val="24"/>
                <w:szCs w:val="24"/>
              </w:rPr>
            </w:pPr>
            <w:r>
              <w:rPr>
                <w:color w:val="000000"/>
                <w:sz w:val="24"/>
                <w:szCs w:val="24"/>
                <w:lang w:eastAsia="uk-UA" w:bidi="uk-UA"/>
              </w:rPr>
              <w:t>Оригінальна заводська упаковка, неперефасований;</w:t>
            </w:r>
          </w:p>
          <w:p>
            <w:pPr>
              <w:pStyle w:val="11"/>
              <w:ind w:right="130"/>
              <w:jc w:val="both"/>
              <w:rPr>
                <w:sz w:val="24"/>
                <w:szCs w:val="24"/>
              </w:rPr>
            </w:pPr>
            <w:r>
              <w:rPr>
                <w:color w:val="000000"/>
                <w:sz w:val="24"/>
                <w:szCs w:val="24"/>
                <w:lang w:eastAsia="uk-UA" w:bidi="uk-UA"/>
              </w:rPr>
              <w:t xml:space="preserve">Відповідність стандартам </w:t>
            </w:r>
            <w:r>
              <w:rPr>
                <w:color w:val="000000"/>
                <w:sz w:val="24"/>
                <w:szCs w:val="24"/>
                <w:lang w:val="en-US" w:eastAsia="uk-UA" w:bidi="uk-UA"/>
              </w:rPr>
              <w:t>ISO</w:t>
            </w:r>
            <w:r>
              <w:rPr>
                <w:color w:val="000000"/>
                <w:sz w:val="24"/>
                <w:szCs w:val="24"/>
                <w:lang w:eastAsia="uk-UA" w:bidi="uk-UA"/>
              </w:rPr>
              <w:t xml:space="preserve">, </w:t>
            </w:r>
            <w:r>
              <w:rPr>
                <w:color w:val="000000"/>
                <w:sz w:val="24"/>
                <w:szCs w:val="24"/>
                <w:lang w:val="en-US" w:eastAsia="uk-UA" w:bidi="uk-UA"/>
              </w:rPr>
              <w:t>G</w:t>
            </w:r>
            <w:r>
              <w:rPr>
                <w:color w:val="000000"/>
                <w:sz w:val="24"/>
                <w:szCs w:val="24"/>
                <w:lang w:eastAsia="uk-UA" w:bidi="uk-UA"/>
              </w:rPr>
              <w:t>МР, та українським стандартам якості;</w:t>
            </w:r>
          </w:p>
          <w:p>
            <w:pPr>
              <w:pStyle w:val="11"/>
              <w:ind w:right="130"/>
              <w:jc w:val="both"/>
              <w:rPr>
                <w:sz w:val="24"/>
                <w:szCs w:val="24"/>
              </w:rPr>
            </w:pPr>
            <w:r>
              <w:rPr>
                <w:color w:val="000000"/>
                <w:sz w:val="24"/>
                <w:szCs w:val="24"/>
                <w:lang w:eastAsia="uk-UA" w:bidi="uk-UA"/>
              </w:rPr>
              <w:t>Відповідає прописам іноземних та українських фармакопей</w:t>
            </w:r>
          </w:p>
          <w:p>
            <w:pPr>
              <w:pStyle w:val="11"/>
              <w:ind w:right="130"/>
              <w:jc w:val="both"/>
              <w:rPr>
                <w:sz w:val="24"/>
                <w:szCs w:val="24"/>
              </w:rPr>
            </w:pPr>
            <w:r>
              <w:rPr>
                <w:color w:val="000000"/>
                <w:sz w:val="24"/>
                <w:szCs w:val="24"/>
                <w:lang w:eastAsia="uk-UA" w:bidi="uk-UA"/>
              </w:rPr>
              <w:t>Маркування етикетки згідно вимог чинного законодавства та українською мовою;</w:t>
            </w:r>
          </w:p>
          <w:p>
            <w:pPr>
              <w:pStyle w:val="11"/>
              <w:ind w:right="130"/>
              <w:jc w:val="both"/>
              <w:rPr>
                <w:sz w:val="24"/>
                <w:szCs w:val="24"/>
              </w:rPr>
            </w:pPr>
            <w:r>
              <w:rPr>
                <w:color w:val="000000"/>
                <w:sz w:val="24"/>
                <w:szCs w:val="24"/>
                <w:lang w:eastAsia="uk-UA" w:bidi="uk-UA"/>
              </w:rPr>
              <w:t>Сертифікати аналізу та якості (оригінал та переклад);</w:t>
            </w:r>
          </w:p>
          <w:p>
            <w:pPr>
              <w:pStyle w:val="11"/>
              <w:ind w:right="130"/>
              <w:jc w:val="both"/>
              <w:rPr>
                <w:sz w:val="24"/>
                <w:szCs w:val="24"/>
              </w:rPr>
            </w:pPr>
            <w:r>
              <w:rPr>
                <w:color w:val="000000"/>
                <w:sz w:val="24"/>
                <w:szCs w:val="24"/>
                <w:lang w:eastAsia="uk-UA" w:bidi="uk-UA"/>
              </w:rPr>
              <w:t xml:space="preserve">Діюча реєстрація в Україні або відповідність Технічному регламенту щодо медичних виробів для діагностики </w:t>
            </w:r>
            <w:r>
              <w:rPr>
                <w:color w:val="000000"/>
                <w:sz w:val="24"/>
                <w:szCs w:val="24"/>
                <w:lang w:val="en-US" w:eastAsia="uk-UA" w:bidi="uk-UA"/>
              </w:rPr>
              <w:t>in</w:t>
            </w:r>
            <w:r>
              <w:rPr>
                <w:color w:val="000000"/>
                <w:sz w:val="24"/>
                <w:szCs w:val="24"/>
                <w:lang w:eastAsia="uk-UA" w:bidi="uk-UA"/>
              </w:rPr>
              <w:t xml:space="preserve"> </w:t>
            </w:r>
            <w:r>
              <w:rPr>
                <w:color w:val="000000"/>
                <w:sz w:val="24"/>
                <w:szCs w:val="24"/>
                <w:lang w:val="en-US" w:eastAsia="uk-UA" w:bidi="uk-UA"/>
              </w:rPr>
              <w:t>vitro</w:t>
            </w:r>
            <w:r>
              <w:rPr>
                <w:smallCaps/>
                <w:color w:val="000000"/>
                <w:sz w:val="24"/>
                <w:szCs w:val="24"/>
                <w:lang w:eastAsia="uk-UA" w:bidi="uk-UA"/>
              </w:rPr>
              <w:t>;</w:t>
            </w:r>
          </w:p>
          <w:p>
            <w:pPr>
              <w:pStyle w:val="11"/>
              <w:ind w:right="130"/>
              <w:jc w:val="both"/>
              <w:rPr>
                <w:sz w:val="24"/>
                <w:szCs w:val="24"/>
              </w:rPr>
            </w:pPr>
            <w:r>
              <w:rPr>
                <w:color w:val="000000"/>
                <w:sz w:val="24"/>
                <w:szCs w:val="24"/>
                <w:lang w:eastAsia="uk-UA" w:bidi="uk-UA"/>
              </w:rPr>
              <w:t>Інструкція українською мовою;</w:t>
            </w:r>
          </w:p>
          <w:p>
            <w:pPr>
              <w:pStyle w:val="11"/>
              <w:ind w:right="130"/>
              <w:jc w:val="both"/>
              <w:rPr>
                <w:sz w:val="24"/>
                <w:szCs w:val="24"/>
              </w:rPr>
            </w:pPr>
            <w:r>
              <w:rPr>
                <w:color w:val="000000"/>
                <w:sz w:val="24"/>
                <w:szCs w:val="24"/>
                <w:lang w:eastAsia="uk-UA" w:bidi="uk-UA"/>
              </w:rPr>
              <w:t>Термін придатності - не менше 2 років;</w:t>
            </w:r>
          </w:p>
          <w:p>
            <w:pPr>
              <w:pStyle w:val="11"/>
              <w:ind w:right="130"/>
              <w:jc w:val="both"/>
              <w:rPr>
                <w:sz w:val="24"/>
                <w:szCs w:val="24"/>
              </w:rPr>
            </w:pPr>
            <w:r>
              <w:rPr>
                <w:color w:val="000000"/>
                <w:sz w:val="24"/>
                <w:szCs w:val="24"/>
                <w:lang w:eastAsia="uk-UA" w:bidi="uk-UA"/>
              </w:rPr>
              <w:t>Перевірений тест-культурами АТСС на ростові властивості.</w:t>
            </w:r>
          </w:p>
        </w:tc>
        <w:tc>
          <w:tcPr>
            <w:tcW w:w="843" w:type="dxa"/>
            <w:tcBorders>
              <w:top w:val="single" w:color="auto" w:sz="4" w:space="0"/>
              <w:left w:val="single" w:color="auto" w:sz="4" w:space="0"/>
            </w:tcBorders>
            <w:shd w:val="clear" w:color="auto" w:fill="auto"/>
          </w:tcPr>
          <w:p>
            <w:pPr>
              <w:pStyle w:val="11"/>
              <w:rPr>
                <w:sz w:val="24"/>
                <w:szCs w:val="24"/>
              </w:rPr>
            </w:pPr>
            <w:r>
              <w:rPr>
                <w:color w:val="000000"/>
                <w:sz w:val="24"/>
                <w:szCs w:val="24"/>
                <w:lang w:eastAsia="uk-UA" w:bidi="uk-UA"/>
              </w:rPr>
              <w:t>кг</w:t>
            </w:r>
          </w:p>
        </w:tc>
        <w:tc>
          <w:tcPr>
            <w:tcW w:w="1164" w:type="dxa"/>
            <w:tcBorders>
              <w:top w:val="single" w:color="auto" w:sz="4" w:space="0"/>
              <w:left w:val="single" w:color="auto" w:sz="4" w:space="0"/>
              <w:right w:val="single" w:color="auto" w:sz="4" w:space="0"/>
            </w:tcBorders>
            <w:shd w:val="clear" w:color="auto" w:fill="auto"/>
          </w:tcPr>
          <w:p>
            <w:pPr>
              <w:pStyle w:val="11"/>
              <w:rPr>
                <w:sz w:val="24"/>
                <w:szCs w:val="24"/>
              </w:rPr>
            </w:pPr>
            <w:r>
              <w:rPr>
                <w:color w:val="000000"/>
                <w:sz w:val="24"/>
                <w:szCs w:val="24"/>
                <w:lang w:eastAsia="uk-UA" w:bidi="uk-UA"/>
              </w:rPr>
              <w:t>6</w:t>
            </w:r>
          </w:p>
        </w:tc>
      </w:tr>
      <w:tr>
        <w:trPr>
          <w:trHeight w:val="7426" w:hRule="exact"/>
        </w:trPr>
        <w:tc>
          <w:tcPr>
            <w:tcW w:w="567" w:type="dxa"/>
            <w:tcBorders>
              <w:top w:val="single" w:color="auto" w:sz="4" w:space="0"/>
              <w:left w:val="single" w:color="auto" w:sz="4" w:space="0"/>
              <w:bottom w:val="single" w:color="auto" w:sz="4" w:space="0"/>
            </w:tcBorders>
            <w:shd w:val="clear" w:color="auto" w:fill="auto"/>
            <w:vAlign w:val="center"/>
          </w:tcPr>
          <w:p>
            <w:pPr>
              <w:pStyle w:val="11"/>
              <w:ind w:firstLine="140"/>
              <w:jc w:val="center"/>
              <w:rPr>
                <w:sz w:val="24"/>
                <w:szCs w:val="24"/>
              </w:rPr>
            </w:pPr>
            <w:r>
              <w:rPr>
                <w:color w:val="000000"/>
                <w:sz w:val="24"/>
                <w:szCs w:val="24"/>
                <w:lang w:eastAsia="uk-UA" w:bidi="uk-UA"/>
              </w:rPr>
              <w:t>2</w:t>
            </w:r>
          </w:p>
        </w:tc>
        <w:tc>
          <w:tcPr>
            <w:tcW w:w="1808" w:type="dxa"/>
            <w:tcBorders>
              <w:top w:val="single" w:color="auto" w:sz="4" w:space="0"/>
              <w:left w:val="single" w:color="auto" w:sz="4" w:space="0"/>
              <w:bottom w:val="single" w:color="auto" w:sz="4" w:space="0"/>
            </w:tcBorders>
            <w:shd w:val="clear" w:color="auto" w:fill="auto"/>
            <w:vAlign w:val="center"/>
          </w:tcPr>
          <w:p>
            <w:pPr>
              <w:pStyle w:val="11"/>
              <w:ind w:right="124"/>
              <w:jc w:val="center"/>
              <w:rPr>
                <w:sz w:val="24"/>
                <w:szCs w:val="24"/>
              </w:rPr>
            </w:pPr>
            <w:r>
              <w:rPr>
                <w:color w:val="000000"/>
                <w:sz w:val="24"/>
                <w:szCs w:val="24"/>
                <w:lang w:eastAsia="uk-UA" w:bidi="uk-UA"/>
              </w:rPr>
              <w:t>Середовище Ендо</w:t>
            </w:r>
          </w:p>
        </w:tc>
        <w:tc>
          <w:tcPr>
            <w:tcW w:w="6280" w:type="dxa"/>
            <w:tcBorders>
              <w:top w:val="single" w:color="auto" w:sz="4" w:space="0"/>
              <w:left w:val="single" w:color="auto" w:sz="4" w:space="0"/>
              <w:bottom w:val="single" w:color="auto" w:sz="4" w:space="0"/>
            </w:tcBorders>
            <w:shd w:val="clear" w:color="auto" w:fill="auto"/>
          </w:tcPr>
          <w:p>
            <w:pPr>
              <w:pStyle w:val="11"/>
              <w:ind w:right="130"/>
              <w:jc w:val="both"/>
              <w:rPr>
                <w:sz w:val="24"/>
                <w:szCs w:val="24"/>
              </w:rPr>
            </w:pPr>
            <w:r>
              <w:rPr>
                <w:color w:val="000000"/>
                <w:sz w:val="24"/>
                <w:szCs w:val="24"/>
                <w:lang w:eastAsia="uk-UA" w:bidi="uk-UA"/>
              </w:rPr>
              <w:t>Рекомендується для виділення і диференціації грам негативних мікроорганізмів кишкової групи ,для виділення і визначення коліформних і інших бактерій кишкової групи.</w:t>
            </w:r>
          </w:p>
          <w:p>
            <w:pPr>
              <w:pStyle w:val="11"/>
              <w:ind w:right="130"/>
              <w:jc w:val="both"/>
              <w:rPr>
                <w:sz w:val="24"/>
                <w:szCs w:val="24"/>
              </w:rPr>
            </w:pPr>
            <w:r>
              <w:rPr>
                <w:color w:val="000000"/>
                <w:sz w:val="24"/>
                <w:szCs w:val="24"/>
                <w:lang w:eastAsia="uk-UA" w:bidi="uk-UA"/>
              </w:rPr>
              <w:t>Сухий препарат у вигляді гомогенного сипучого порошку;</w:t>
            </w:r>
          </w:p>
          <w:p>
            <w:pPr>
              <w:pStyle w:val="11"/>
              <w:ind w:right="130"/>
              <w:jc w:val="both"/>
              <w:rPr>
                <w:sz w:val="24"/>
                <w:szCs w:val="24"/>
              </w:rPr>
            </w:pPr>
            <w:r>
              <w:rPr>
                <w:color w:val="000000"/>
                <w:sz w:val="24"/>
                <w:szCs w:val="24"/>
                <w:lang w:eastAsia="uk-UA" w:bidi="uk-UA"/>
              </w:rPr>
              <w:t xml:space="preserve">Оригінальна заводська упаковка ; Упаковка пластиковий контейнер по 500 г. Відповідність стандартам </w:t>
            </w:r>
            <w:r>
              <w:rPr>
                <w:color w:val="000000"/>
                <w:sz w:val="24"/>
                <w:szCs w:val="24"/>
                <w:lang w:val="en-US" w:eastAsia="uk-UA" w:bidi="uk-UA"/>
              </w:rPr>
              <w:t>ISO</w:t>
            </w:r>
            <w:r>
              <w:rPr>
                <w:color w:val="000000"/>
                <w:sz w:val="24"/>
                <w:szCs w:val="24"/>
                <w:lang w:eastAsia="uk-UA" w:bidi="uk-UA"/>
              </w:rPr>
              <w:t xml:space="preserve">, </w:t>
            </w:r>
            <w:r>
              <w:rPr>
                <w:color w:val="000000"/>
                <w:sz w:val="24"/>
                <w:szCs w:val="24"/>
                <w:lang w:val="en-US" w:eastAsia="uk-UA" w:bidi="uk-UA"/>
              </w:rPr>
              <w:t>G</w:t>
            </w:r>
            <w:r>
              <w:rPr>
                <w:color w:val="000000"/>
                <w:sz w:val="24"/>
                <w:szCs w:val="24"/>
                <w:lang w:eastAsia="uk-UA" w:bidi="uk-UA"/>
              </w:rPr>
              <w:t>МР,</w:t>
            </w:r>
            <w:r>
              <w:rPr>
                <w:color w:val="000000"/>
                <w:sz w:val="24"/>
                <w:szCs w:val="24"/>
                <w:lang w:val="ru-RU" w:eastAsia="uk-UA" w:bidi="uk-UA"/>
              </w:rPr>
              <w:t xml:space="preserve"> </w:t>
            </w:r>
            <w:r>
              <w:rPr>
                <w:color w:val="000000"/>
                <w:sz w:val="24"/>
                <w:szCs w:val="24"/>
                <w:lang w:eastAsia="uk-UA" w:bidi="uk-UA"/>
              </w:rPr>
              <w:t>та українським стандартам якості:</w:t>
            </w:r>
          </w:p>
          <w:p>
            <w:pPr>
              <w:pStyle w:val="11"/>
              <w:ind w:right="130"/>
              <w:jc w:val="both"/>
              <w:rPr>
                <w:sz w:val="24"/>
                <w:szCs w:val="24"/>
              </w:rPr>
            </w:pPr>
            <w:r>
              <w:rPr>
                <w:color w:val="000000"/>
                <w:sz w:val="24"/>
                <w:szCs w:val="24"/>
                <w:lang w:eastAsia="uk-UA" w:bidi="uk-UA"/>
              </w:rPr>
              <w:t>Відповідає прописам іноземних та українських фармакопей</w:t>
            </w:r>
          </w:p>
          <w:p>
            <w:pPr>
              <w:pStyle w:val="11"/>
              <w:ind w:right="130"/>
              <w:jc w:val="both"/>
              <w:rPr>
                <w:sz w:val="24"/>
                <w:szCs w:val="24"/>
              </w:rPr>
            </w:pPr>
            <w:r>
              <w:rPr>
                <w:color w:val="000000"/>
                <w:sz w:val="24"/>
                <w:szCs w:val="24"/>
                <w:lang w:eastAsia="uk-UA" w:bidi="uk-UA"/>
              </w:rPr>
              <w:t>Маркування етикетки згідно вимог чинного законодавства та українською мовою.</w:t>
            </w:r>
          </w:p>
          <w:p>
            <w:pPr>
              <w:pStyle w:val="11"/>
              <w:ind w:right="130"/>
              <w:jc w:val="both"/>
              <w:rPr>
                <w:sz w:val="24"/>
                <w:szCs w:val="24"/>
              </w:rPr>
            </w:pPr>
            <w:r>
              <w:rPr>
                <w:color w:val="000000"/>
                <w:sz w:val="24"/>
                <w:szCs w:val="24"/>
                <w:lang w:eastAsia="uk-UA" w:bidi="uk-UA"/>
              </w:rPr>
              <w:t>Копія сертифікату аналізу.</w:t>
            </w:r>
          </w:p>
          <w:p>
            <w:pPr>
              <w:pStyle w:val="11"/>
              <w:ind w:right="130"/>
              <w:jc w:val="both"/>
              <w:rPr>
                <w:smallCaps/>
                <w:color w:val="000000"/>
                <w:sz w:val="24"/>
                <w:szCs w:val="24"/>
                <w:lang w:eastAsia="uk-UA" w:bidi="uk-UA"/>
              </w:rPr>
            </w:pPr>
            <w:r>
              <w:rPr>
                <w:color w:val="000000"/>
                <w:sz w:val="24"/>
                <w:szCs w:val="24"/>
                <w:lang w:eastAsia="uk-UA" w:bidi="uk-UA"/>
              </w:rPr>
              <w:t xml:space="preserve">Діюча реєстрація в Україні або відповідність технічному регламенту щодо медичних виробів для діагностики </w:t>
            </w:r>
            <w:r>
              <w:rPr>
                <w:color w:val="000000"/>
                <w:sz w:val="24"/>
                <w:szCs w:val="24"/>
                <w:lang w:val="en-US" w:eastAsia="uk-UA" w:bidi="uk-UA"/>
              </w:rPr>
              <w:t>in</w:t>
            </w:r>
            <w:r>
              <w:rPr>
                <w:color w:val="000000"/>
                <w:sz w:val="24"/>
                <w:szCs w:val="24"/>
                <w:lang w:eastAsia="uk-UA" w:bidi="uk-UA"/>
              </w:rPr>
              <w:t xml:space="preserve"> </w:t>
            </w:r>
            <w:r>
              <w:rPr>
                <w:color w:val="000000"/>
                <w:sz w:val="24"/>
                <w:szCs w:val="24"/>
                <w:lang w:val="en-US" w:eastAsia="uk-UA" w:bidi="uk-UA"/>
              </w:rPr>
              <w:t>vitro</w:t>
            </w:r>
            <w:r>
              <w:rPr>
                <w:smallCaps/>
                <w:color w:val="000000"/>
                <w:sz w:val="24"/>
                <w:szCs w:val="24"/>
                <w:lang w:eastAsia="uk-UA" w:bidi="uk-UA"/>
              </w:rPr>
              <w:t xml:space="preserve">; </w:t>
            </w:r>
          </w:p>
          <w:p>
            <w:pPr>
              <w:pStyle w:val="11"/>
              <w:ind w:right="130"/>
              <w:jc w:val="both"/>
              <w:rPr>
                <w:color w:val="000000"/>
                <w:sz w:val="24"/>
                <w:szCs w:val="24"/>
                <w:lang w:eastAsia="uk-UA" w:bidi="uk-UA"/>
              </w:rPr>
            </w:pPr>
            <w:r>
              <w:rPr>
                <w:smallCaps/>
                <w:color w:val="000000"/>
                <w:sz w:val="24"/>
                <w:szCs w:val="24"/>
                <w:lang w:eastAsia="uk-UA" w:bidi="uk-UA"/>
              </w:rPr>
              <w:t>.</w:t>
            </w:r>
            <w:r>
              <w:rPr>
                <w:color w:val="000000"/>
                <w:sz w:val="24"/>
                <w:szCs w:val="24"/>
                <w:lang w:eastAsia="uk-UA" w:bidi="uk-UA"/>
              </w:rPr>
              <w:t>Інструкція українською мовою. Термін придатності не менше 4 років.</w:t>
            </w:r>
          </w:p>
          <w:p>
            <w:pPr>
              <w:pStyle w:val="11"/>
              <w:ind w:right="130"/>
              <w:jc w:val="both"/>
              <w:rPr>
                <w:sz w:val="24"/>
                <w:szCs w:val="24"/>
              </w:rPr>
            </w:pPr>
            <w:r>
              <w:rPr>
                <w:color w:val="000000"/>
                <w:sz w:val="24"/>
                <w:szCs w:val="24"/>
                <w:lang w:eastAsia="uk-UA" w:bidi="uk-UA"/>
              </w:rPr>
              <w:t>Перевірений тест культурами</w:t>
            </w:r>
            <w:r>
              <w:rPr>
                <w:color w:val="000000"/>
                <w:sz w:val="24"/>
                <w:szCs w:val="24"/>
                <w:lang w:val="ru-RU" w:eastAsia="uk-UA" w:bidi="uk-UA"/>
              </w:rPr>
              <w:t xml:space="preserve"> </w:t>
            </w:r>
            <w:r>
              <w:rPr>
                <w:color w:val="000000"/>
                <w:sz w:val="24"/>
                <w:szCs w:val="24"/>
                <w:lang w:eastAsia="uk-UA" w:bidi="uk-UA"/>
              </w:rPr>
              <w:t>АТСС на ростові властивості.</w:t>
            </w:r>
          </w:p>
        </w:tc>
        <w:tc>
          <w:tcPr>
            <w:tcW w:w="843" w:type="dxa"/>
            <w:tcBorders>
              <w:top w:val="single" w:color="auto" w:sz="4" w:space="0"/>
              <w:left w:val="single" w:color="auto" w:sz="4" w:space="0"/>
              <w:bottom w:val="single" w:color="auto" w:sz="4" w:space="0"/>
            </w:tcBorders>
            <w:shd w:val="clear" w:color="auto" w:fill="auto"/>
          </w:tcPr>
          <w:p>
            <w:pPr>
              <w:pStyle w:val="11"/>
              <w:rPr>
                <w:sz w:val="24"/>
                <w:szCs w:val="24"/>
              </w:rPr>
            </w:pPr>
            <w:r>
              <w:rPr>
                <w:color w:val="000000"/>
                <w:sz w:val="24"/>
                <w:szCs w:val="24"/>
                <w:lang w:eastAsia="uk-UA" w:bidi="uk-UA"/>
              </w:rPr>
              <w:t>кг</w:t>
            </w:r>
          </w:p>
        </w:tc>
        <w:tc>
          <w:tcPr>
            <w:tcW w:w="1164" w:type="dxa"/>
            <w:tcBorders>
              <w:top w:val="single" w:color="auto" w:sz="4" w:space="0"/>
              <w:left w:val="single" w:color="auto" w:sz="4" w:space="0"/>
              <w:bottom w:val="single" w:color="auto" w:sz="4" w:space="0"/>
              <w:right w:val="single" w:color="auto" w:sz="4" w:space="0"/>
            </w:tcBorders>
            <w:shd w:val="clear" w:color="auto" w:fill="auto"/>
          </w:tcPr>
          <w:p>
            <w:pPr>
              <w:pStyle w:val="11"/>
              <w:rPr>
                <w:sz w:val="24"/>
                <w:szCs w:val="24"/>
              </w:rPr>
            </w:pPr>
            <w:r>
              <w:rPr>
                <w:color w:val="000000"/>
                <w:sz w:val="24"/>
                <w:szCs w:val="24"/>
                <w:lang w:eastAsia="uk-UA" w:bidi="uk-UA"/>
              </w:rPr>
              <w:t>0,5</w:t>
            </w:r>
          </w:p>
        </w:tc>
      </w:tr>
      <w:tr>
        <w:trPr>
          <w:trHeight w:val="5470" w:hRule="exact"/>
        </w:trPr>
        <w:tc>
          <w:tcPr>
            <w:tcW w:w="567" w:type="dxa"/>
            <w:tcBorders>
              <w:top w:val="single" w:color="auto" w:sz="4" w:space="0"/>
              <w:left w:val="single" w:color="auto" w:sz="4" w:space="0"/>
              <w:bottom w:val="single" w:color="auto" w:sz="4" w:space="0"/>
            </w:tcBorders>
            <w:shd w:val="clear" w:color="auto" w:fill="auto"/>
            <w:vAlign w:val="center"/>
          </w:tcPr>
          <w:p>
            <w:pPr>
              <w:pStyle w:val="11"/>
              <w:jc w:val="center"/>
              <w:rPr>
                <w:sz w:val="24"/>
                <w:szCs w:val="24"/>
              </w:rPr>
            </w:pPr>
            <w:r>
              <w:rPr>
                <w:color w:val="000000"/>
                <w:sz w:val="24"/>
                <w:szCs w:val="24"/>
                <w:lang w:eastAsia="uk-UA" w:bidi="uk-UA"/>
              </w:rPr>
              <w:t>3</w:t>
            </w:r>
          </w:p>
        </w:tc>
        <w:tc>
          <w:tcPr>
            <w:tcW w:w="1808" w:type="dxa"/>
            <w:tcBorders>
              <w:top w:val="single" w:color="auto" w:sz="4" w:space="0"/>
              <w:left w:val="single" w:color="auto" w:sz="4" w:space="0"/>
              <w:bottom w:val="single" w:color="auto" w:sz="4" w:space="0"/>
            </w:tcBorders>
            <w:shd w:val="clear" w:color="auto" w:fill="auto"/>
            <w:vAlign w:val="center"/>
          </w:tcPr>
          <w:p>
            <w:pPr>
              <w:pStyle w:val="11"/>
              <w:ind w:right="124"/>
              <w:jc w:val="center"/>
              <w:rPr>
                <w:sz w:val="24"/>
                <w:szCs w:val="24"/>
              </w:rPr>
            </w:pPr>
            <w:r>
              <w:rPr>
                <w:color w:val="000000"/>
                <w:sz w:val="24"/>
                <w:szCs w:val="24"/>
                <w:lang w:eastAsia="uk-UA" w:bidi="uk-UA"/>
              </w:rPr>
              <w:t>Ксилозолізиновий- дезоксихолатний агар</w:t>
            </w:r>
          </w:p>
        </w:tc>
        <w:tc>
          <w:tcPr>
            <w:tcW w:w="6280" w:type="dxa"/>
            <w:tcBorders>
              <w:top w:val="single" w:color="auto" w:sz="4" w:space="0"/>
              <w:left w:val="single" w:color="auto" w:sz="4" w:space="0"/>
              <w:bottom w:val="single" w:color="auto" w:sz="4" w:space="0"/>
            </w:tcBorders>
            <w:shd w:val="clear" w:color="auto" w:fill="auto"/>
            <w:vAlign w:val="center"/>
          </w:tcPr>
          <w:p>
            <w:pPr>
              <w:pStyle w:val="11"/>
              <w:ind w:right="130"/>
              <w:jc w:val="both"/>
              <w:rPr>
                <w:sz w:val="24"/>
                <w:szCs w:val="24"/>
              </w:rPr>
            </w:pPr>
            <w:r>
              <w:rPr>
                <w:color w:val="000000"/>
                <w:sz w:val="24"/>
                <w:szCs w:val="24"/>
                <w:lang w:eastAsia="uk-UA" w:bidi="uk-UA"/>
              </w:rPr>
              <w:t>Сухий препарат у вигляді гомогенного сипучого світло жовтого порошку.</w:t>
            </w:r>
          </w:p>
          <w:p>
            <w:pPr>
              <w:pStyle w:val="11"/>
              <w:ind w:right="130"/>
              <w:jc w:val="both"/>
              <w:rPr>
                <w:sz w:val="24"/>
                <w:szCs w:val="24"/>
              </w:rPr>
            </w:pPr>
            <w:r>
              <w:rPr>
                <w:color w:val="000000"/>
                <w:sz w:val="24"/>
                <w:szCs w:val="24"/>
                <w:lang w:eastAsia="uk-UA" w:bidi="uk-UA"/>
              </w:rPr>
              <w:t xml:space="preserve">Оригінальна заводська упаковка; Упаковка пластиковий контейнер по 500 г. Відповідність стандартам </w:t>
            </w:r>
            <w:r>
              <w:rPr>
                <w:color w:val="000000"/>
                <w:sz w:val="24"/>
                <w:szCs w:val="24"/>
                <w:lang w:val="en-US" w:eastAsia="uk-UA" w:bidi="uk-UA"/>
              </w:rPr>
              <w:t>ISO</w:t>
            </w:r>
            <w:r>
              <w:rPr>
                <w:color w:val="000000"/>
                <w:sz w:val="24"/>
                <w:szCs w:val="24"/>
                <w:lang w:eastAsia="uk-UA" w:bidi="uk-UA"/>
              </w:rPr>
              <w:t xml:space="preserve">, </w:t>
            </w:r>
            <w:r>
              <w:rPr>
                <w:color w:val="000000"/>
                <w:sz w:val="24"/>
                <w:szCs w:val="24"/>
                <w:lang w:val="en-US" w:eastAsia="uk-UA" w:bidi="uk-UA"/>
              </w:rPr>
              <w:t>G</w:t>
            </w:r>
            <w:r>
              <w:rPr>
                <w:color w:val="000000"/>
                <w:sz w:val="24"/>
                <w:szCs w:val="24"/>
                <w:lang w:eastAsia="uk-UA" w:bidi="uk-UA"/>
              </w:rPr>
              <w:t>МР, та українським стандартам якості:</w:t>
            </w:r>
          </w:p>
          <w:p>
            <w:pPr>
              <w:pStyle w:val="11"/>
              <w:ind w:right="130"/>
              <w:jc w:val="both"/>
              <w:rPr>
                <w:sz w:val="24"/>
                <w:szCs w:val="24"/>
              </w:rPr>
            </w:pPr>
            <w:r>
              <w:rPr>
                <w:color w:val="000000"/>
                <w:sz w:val="24"/>
                <w:szCs w:val="24"/>
                <w:lang w:eastAsia="uk-UA" w:bidi="uk-UA"/>
              </w:rPr>
              <w:t>Відповідає прописам іноземних та українських фармакопей</w:t>
            </w:r>
          </w:p>
          <w:p>
            <w:pPr>
              <w:pStyle w:val="11"/>
              <w:ind w:right="130"/>
              <w:jc w:val="both"/>
              <w:rPr>
                <w:sz w:val="24"/>
                <w:szCs w:val="24"/>
              </w:rPr>
            </w:pPr>
            <w:r>
              <w:rPr>
                <w:color w:val="000000"/>
                <w:sz w:val="24"/>
                <w:szCs w:val="24"/>
                <w:lang w:eastAsia="uk-UA" w:bidi="uk-UA"/>
              </w:rPr>
              <w:t>Маркування етикетки згідно вимог чинного законодавства та українською мовою.</w:t>
            </w:r>
          </w:p>
          <w:p>
            <w:pPr>
              <w:pStyle w:val="11"/>
              <w:ind w:right="130"/>
              <w:jc w:val="both"/>
              <w:rPr>
                <w:sz w:val="24"/>
                <w:szCs w:val="24"/>
              </w:rPr>
            </w:pPr>
            <w:r>
              <w:rPr>
                <w:color w:val="000000"/>
                <w:sz w:val="24"/>
                <w:szCs w:val="24"/>
                <w:lang w:eastAsia="uk-UA" w:bidi="uk-UA"/>
              </w:rPr>
              <w:t>Копія сертифікату аналізу.</w:t>
            </w:r>
          </w:p>
          <w:p>
            <w:pPr>
              <w:pStyle w:val="11"/>
              <w:ind w:right="130"/>
              <w:jc w:val="both"/>
              <w:rPr>
                <w:sz w:val="24"/>
                <w:szCs w:val="24"/>
              </w:rPr>
            </w:pPr>
            <w:r>
              <w:rPr>
                <w:color w:val="000000"/>
                <w:sz w:val="24"/>
                <w:szCs w:val="24"/>
                <w:lang w:eastAsia="uk-UA" w:bidi="uk-UA"/>
              </w:rPr>
              <w:t xml:space="preserve">Діюча реєстрація в Україні або відповідність технічному регламенту щодо медичних виробів для діагностики </w:t>
            </w:r>
            <w:r>
              <w:rPr>
                <w:color w:val="000000"/>
                <w:sz w:val="24"/>
                <w:szCs w:val="24"/>
                <w:lang w:val="en-US" w:eastAsia="uk-UA" w:bidi="uk-UA"/>
              </w:rPr>
              <w:t>in</w:t>
            </w:r>
            <w:r>
              <w:rPr>
                <w:color w:val="000000"/>
                <w:sz w:val="24"/>
                <w:szCs w:val="24"/>
                <w:lang w:eastAsia="uk-UA" w:bidi="uk-UA"/>
              </w:rPr>
              <w:t xml:space="preserve"> </w:t>
            </w:r>
            <w:r>
              <w:rPr>
                <w:color w:val="000000"/>
                <w:sz w:val="24"/>
                <w:szCs w:val="24"/>
                <w:lang w:val="en-US" w:eastAsia="uk-UA" w:bidi="uk-UA"/>
              </w:rPr>
              <w:t>vitro</w:t>
            </w:r>
            <w:r>
              <w:rPr>
                <w:smallCaps/>
                <w:color w:val="000000"/>
                <w:sz w:val="24"/>
                <w:szCs w:val="24"/>
                <w:lang w:eastAsia="uk-UA" w:bidi="uk-UA"/>
              </w:rPr>
              <w:t>;.</w:t>
            </w:r>
            <w:r>
              <w:rPr>
                <w:color w:val="000000"/>
                <w:sz w:val="24"/>
                <w:szCs w:val="24"/>
                <w:lang w:eastAsia="uk-UA" w:bidi="uk-UA"/>
              </w:rPr>
              <w:t xml:space="preserve"> Інструкція українською мовою. Термін придатності не менше 4 років.</w:t>
            </w:r>
            <w:r>
              <w:rPr>
                <w:color w:val="000000"/>
                <w:sz w:val="24"/>
                <w:szCs w:val="24"/>
                <w:lang w:val="ru-RU" w:eastAsia="uk-UA" w:bidi="uk-UA"/>
              </w:rPr>
              <w:t xml:space="preserve"> </w:t>
            </w:r>
            <w:r>
              <w:rPr>
                <w:color w:val="000000"/>
                <w:sz w:val="24"/>
                <w:szCs w:val="24"/>
                <w:lang w:eastAsia="uk-UA" w:bidi="uk-UA"/>
              </w:rPr>
              <w:t>Перевірений тест культурами</w:t>
            </w:r>
            <w:r>
              <w:rPr>
                <w:color w:val="000000"/>
                <w:sz w:val="24"/>
                <w:szCs w:val="24"/>
                <w:lang w:val="ru-RU" w:eastAsia="uk-UA" w:bidi="uk-UA"/>
              </w:rPr>
              <w:t xml:space="preserve"> </w:t>
            </w:r>
            <w:r>
              <w:rPr>
                <w:color w:val="000000"/>
                <w:sz w:val="24"/>
                <w:szCs w:val="24"/>
                <w:lang w:eastAsia="uk-UA" w:bidi="uk-UA"/>
              </w:rPr>
              <w:t>АТСС на ростові властивості.</w:t>
            </w:r>
          </w:p>
        </w:tc>
        <w:tc>
          <w:tcPr>
            <w:tcW w:w="843" w:type="dxa"/>
            <w:tcBorders>
              <w:top w:val="single" w:color="auto" w:sz="4" w:space="0"/>
              <w:left w:val="single" w:color="auto" w:sz="4" w:space="0"/>
              <w:bottom w:val="single" w:color="auto" w:sz="4" w:space="0"/>
            </w:tcBorders>
            <w:shd w:val="clear" w:color="auto" w:fill="auto"/>
          </w:tcPr>
          <w:p>
            <w:pPr>
              <w:pStyle w:val="11"/>
              <w:rPr>
                <w:sz w:val="24"/>
                <w:szCs w:val="24"/>
              </w:rPr>
            </w:pPr>
            <w:r>
              <w:rPr>
                <w:color w:val="000000"/>
                <w:sz w:val="24"/>
                <w:szCs w:val="24"/>
                <w:lang w:eastAsia="uk-UA" w:bidi="uk-UA"/>
              </w:rPr>
              <w:t>кг</w:t>
            </w:r>
          </w:p>
        </w:tc>
        <w:tc>
          <w:tcPr>
            <w:tcW w:w="1164" w:type="dxa"/>
            <w:tcBorders>
              <w:top w:val="single" w:color="auto" w:sz="4" w:space="0"/>
              <w:left w:val="single" w:color="auto" w:sz="4" w:space="0"/>
              <w:bottom w:val="single" w:color="auto" w:sz="4" w:space="0"/>
              <w:right w:val="single" w:color="auto" w:sz="4" w:space="0"/>
            </w:tcBorders>
            <w:shd w:val="clear" w:color="auto" w:fill="auto"/>
          </w:tcPr>
          <w:p>
            <w:pPr>
              <w:pStyle w:val="11"/>
              <w:rPr>
                <w:sz w:val="24"/>
                <w:szCs w:val="24"/>
              </w:rPr>
            </w:pPr>
            <w:r>
              <w:rPr>
                <w:color w:val="000000"/>
                <w:sz w:val="24"/>
                <w:szCs w:val="24"/>
                <w:lang w:eastAsia="uk-UA" w:bidi="uk-UA"/>
              </w:rPr>
              <w:t>2</w:t>
            </w:r>
          </w:p>
        </w:tc>
      </w:tr>
      <w:tr>
        <w:trPr>
          <w:trHeight w:val="5410" w:hRule="exact"/>
        </w:trPr>
        <w:tc>
          <w:tcPr>
            <w:tcW w:w="567" w:type="dxa"/>
            <w:tcBorders>
              <w:top w:val="single" w:color="auto" w:sz="4" w:space="0"/>
              <w:left w:val="single" w:color="auto" w:sz="4" w:space="0"/>
              <w:bottom w:val="single" w:color="auto" w:sz="4" w:space="0"/>
            </w:tcBorders>
            <w:shd w:val="clear" w:color="auto" w:fill="auto"/>
            <w:vAlign w:val="center"/>
          </w:tcPr>
          <w:p>
            <w:pPr>
              <w:pStyle w:val="11"/>
              <w:ind w:firstLine="140"/>
              <w:jc w:val="center"/>
              <w:rPr>
                <w:sz w:val="24"/>
                <w:szCs w:val="24"/>
              </w:rPr>
            </w:pPr>
            <w:r>
              <w:rPr>
                <w:color w:val="000000"/>
                <w:sz w:val="24"/>
                <w:szCs w:val="24"/>
                <w:lang w:eastAsia="uk-UA" w:bidi="uk-UA"/>
              </w:rPr>
              <w:t>4</w:t>
            </w:r>
          </w:p>
        </w:tc>
        <w:tc>
          <w:tcPr>
            <w:tcW w:w="1808" w:type="dxa"/>
            <w:tcBorders>
              <w:top w:val="single" w:color="auto" w:sz="4" w:space="0"/>
              <w:left w:val="single" w:color="auto" w:sz="4" w:space="0"/>
              <w:bottom w:val="single" w:color="auto" w:sz="4" w:space="0"/>
            </w:tcBorders>
            <w:shd w:val="clear" w:color="auto" w:fill="auto"/>
            <w:vAlign w:val="center"/>
          </w:tcPr>
          <w:p>
            <w:pPr>
              <w:pStyle w:val="11"/>
              <w:ind w:right="124"/>
              <w:jc w:val="center"/>
              <w:rPr>
                <w:sz w:val="24"/>
                <w:szCs w:val="24"/>
              </w:rPr>
            </w:pPr>
            <w:r>
              <w:rPr>
                <w:color w:val="000000"/>
                <w:sz w:val="24"/>
                <w:szCs w:val="24"/>
                <w:lang w:eastAsia="uk-UA" w:bidi="uk-UA"/>
              </w:rPr>
              <w:t>Забуферна пептонна вода</w:t>
            </w:r>
          </w:p>
        </w:tc>
        <w:tc>
          <w:tcPr>
            <w:tcW w:w="6280" w:type="dxa"/>
            <w:tcBorders>
              <w:top w:val="single" w:color="auto" w:sz="4" w:space="0"/>
              <w:left w:val="single" w:color="auto" w:sz="4" w:space="0"/>
              <w:bottom w:val="single" w:color="auto" w:sz="4" w:space="0"/>
            </w:tcBorders>
            <w:shd w:val="clear" w:color="auto" w:fill="auto"/>
          </w:tcPr>
          <w:p>
            <w:pPr>
              <w:pStyle w:val="11"/>
              <w:ind w:right="130"/>
              <w:jc w:val="both"/>
              <w:rPr>
                <w:sz w:val="24"/>
                <w:szCs w:val="24"/>
              </w:rPr>
            </w:pPr>
            <w:r>
              <w:rPr>
                <w:color w:val="000000"/>
                <w:sz w:val="24"/>
                <w:szCs w:val="24"/>
                <w:lang w:eastAsia="uk-UA" w:bidi="uk-UA"/>
              </w:rPr>
              <w:t xml:space="preserve">Сухий препарат </w:t>
            </w:r>
            <w:r>
              <w:rPr>
                <w:i/>
                <w:iCs/>
                <w:color w:val="000000"/>
                <w:sz w:val="24"/>
                <w:szCs w:val="24"/>
                <w:lang w:eastAsia="uk-UA" w:bidi="uk-UA"/>
              </w:rPr>
              <w:t>у</w:t>
            </w:r>
            <w:r>
              <w:rPr>
                <w:color w:val="000000"/>
                <w:sz w:val="24"/>
                <w:szCs w:val="24"/>
                <w:lang w:eastAsia="uk-UA" w:bidi="uk-UA"/>
              </w:rPr>
              <w:t xml:space="preserve"> вигляді гомогенного сипучого світло жовтого порошку.</w:t>
            </w:r>
          </w:p>
          <w:p>
            <w:pPr>
              <w:pStyle w:val="11"/>
              <w:ind w:right="130"/>
              <w:jc w:val="both"/>
              <w:rPr>
                <w:sz w:val="24"/>
                <w:szCs w:val="24"/>
              </w:rPr>
            </w:pPr>
            <w:r>
              <w:rPr>
                <w:color w:val="000000"/>
                <w:sz w:val="24"/>
                <w:szCs w:val="24"/>
                <w:lang w:eastAsia="uk-UA" w:bidi="uk-UA"/>
              </w:rPr>
              <w:t xml:space="preserve">Оригінальна заводська упаковка; Упаковка пластиковий контейнер по 500 г. Відповідність стандартам </w:t>
            </w:r>
            <w:r>
              <w:rPr>
                <w:color w:val="000000"/>
                <w:sz w:val="24"/>
                <w:szCs w:val="24"/>
                <w:lang w:val="en-US" w:eastAsia="uk-UA" w:bidi="uk-UA"/>
              </w:rPr>
              <w:t>ISO</w:t>
            </w:r>
            <w:r>
              <w:rPr>
                <w:color w:val="000000"/>
                <w:sz w:val="24"/>
                <w:szCs w:val="24"/>
                <w:lang w:eastAsia="uk-UA" w:bidi="uk-UA"/>
              </w:rPr>
              <w:t xml:space="preserve">, </w:t>
            </w:r>
            <w:r>
              <w:rPr>
                <w:color w:val="000000"/>
                <w:sz w:val="24"/>
                <w:szCs w:val="24"/>
                <w:lang w:val="en-US" w:eastAsia="uk-UA" w:bidi="uk-UA"/>
              </w:rPr>
              <w:t>G</w:t>
            </w:r>
            <w:r>
              <w:rPr>
                <w:color w:val="000000"/>
                <w:sz w:val="24"/>
                <w:szCs w:val="24"/>
                <w:lang w:eastAsia="uk-UA" w:bidi="uk-UA"/>
              </w:rPr>
              <w:t>МР,</w:t>
            </w:r>
            <w:r>
              <w:rPr>
                <w:color w:val="000000"/>
                <w:sz w:val="24"/>
                <w:szCs w:val="24"/>
                <w:lang w:val="ru-RU" w:eastAsia="uk-UA" w:bidi="uk-UA"/>
              </w:rPr>
              <w:t xml:space="preserve"> </w:t>
            </w:r>
            <w:r>
              <w:rPr>
                <w:color w:val="000000"/>
                <w:sz w:val="24"/>
                <w:szCs w:val="24"/>
                <w:lang w:eastAsia="uk-UA" w:bidi="uk-UA"/>
              </w:rPr>
              <w:t>та українським стандартам якості:</w:t>
            </w:r>
          </w:p>
          <w:p>
            <w:pPr>
              <w:pStyle w:val="11"/>
              <w:ind w:right="130"/>
              <w:jc w:val="both"/>
              <w:rPr>
                <w:sz w:val="24"/>
                <w:szCs w:val="24"/>
              </w:rPr>
            </w:pPr>
            <w:r>
              <w:rPr>
                <w:color w:val="000000"/>
                <w:sz w:val="24"/>
                <w:szCs w:val="24"/>
                <w:lang w:eastAsia="uk-UA" w:bidi="uk-UA"/>
              </w:rPr>
              <w:t>Відповідає прописам іноземних та українських фармакопей</w:t>
            </w:r>
          </w:p>
          <w:p>
            <w:pPr>
              <w:pStyle w:val="11"/>
              <w:ind w:right="130"/>
              <w:jc w:val="both"/>
              <w:rPr>
                <w:sz w:val="24"/>
                <w:szCs w:val="24"/>
              </w:rPr>
            </w:pPr>
            <w:r>
              <w:rPr>
                <w:color w:val="000000"/>
                <w:sz w:val="24"/>
                <w:szCs w:val="24"/>
                <w:lang w:eastAsia="uk-UA" w:bidi="uk-UA"/>
              </w:rPr>
              <w:t>Маркування етикетки згідно вимог чинного законодавства та українською мовою.</w:t>
            </w:r>
          </w:p>
          <w:p>
            <w:pPr>
              <w:pStyle w:val="11"/>
              <w:ind w:right="130"/>
              <w:jc w:val="both"/>
              <w:rPr>
                <w:sz w:val="24"/>
                <w:szCs w:val="24"/>
              </w:rPr>
            </w:pPr>
            <w:r>
              <w:rPr>
                <w:color w:val="000000"/>
                <w:sz w:val="24"/>
                <w:szCs w:val="24"/>
                <w:lang w:eastAsia="uk-UA" w:bidi="uk-UA"/>
              </w:rPr>
              <w:t>Копія сертифікату аналізу.</w:t>
            </w:r>
          </w:p>
          <w:p>
            <w:pPr>
              <w:pStyle w:val="11"/>
              <w:ind w:right="130"/>
              <w:jc w:val="both"/>
              <w:rPr>
                <w:sz w:val="24"/>
                <w:szCs w:val="24"/>
              </w:rPr>
            </w:pPr>
            <w:r>
              <w:rPr>
                <w:color w:val="000000"/>
                <w:sz w:val="24"/>
                <w:szCs w:val="24"/>
                <w:lang w:eastAsia="uk-UA" w:bidi="uk-UA"/>
              </w:rPr>
              <w:t xml:space="preserve">Діюча реєстрація в Україні або відповідність технічному регламенту щодо медичних виробів для діагностики </w:t>
            </w:r>
            <w:r>
              <w:rPr>
                <w:color w:val="000000"/>
                <w:sz w:val="24"/>
                <w:szCs w:val="24"/>
                <w:lang w:val="en-US" w:eastAsia="uk-UA" w:bidi="uk-UA"/>
              </w:rPr>
              <w:t>in</w:t>
            </w:r>
            <w:r>
              <w:rPr>
                <w:color w:val="000000"/>
                <w:sz w:val="24"/>
                <w:szCs w:val="24"/>
                <w:lang w:eastAsia="uk-UA" w:bidi="uk-UA"/>
              </w:rPr>
              <w:t xml:space="preserve"> </w:t>
            </w:r>
            <w:r>
              <w:rPr>
                <w:color w:val="000000"/>
                <w:sz w:val="24"/>
                <w:szCs w:val="24"/>
                <w:lang w:val="en-US" w:eastAsia="uk-UA" w:bidi="uk-UA"/>
              </w:rPr>
              <w:t>vitro</w:t>
            </w:r>
            <w:r>
              <w:rPr>
                <w:smallCaps/>
                <w:color w:val="000000"/>
                <w:sz w:val="24"/>
                <w:szCs w:val="24"/>
                <w:lang w:eastAsia="uk-UA" w:bidi="uk-UA"/>
              </w:rPr>
              <w:t xml:space="preserve">. </w:t>
            </w:r>
            <w:r>
              <w:rPr>
                <w:color w:val="000000"/>
                <w:sz w:val="24"/>
                <w:szCs w:val="24"/>
                <w:lang w:eastAsia="uk-UA" w:bidi="uk-UA"/>
              </w:rPr>
              <w:t>Інструкція українською мовою. Термін придатності не менше 4 років. Перевірений тест культурами АТСС на ростові властивості.</w:t>
            </w:r>
          </w:p>
        </w:tc>
        <w:tc>
          <w:tcPr>
            <w:tcW w:w="843" w:type="dxa"/>
            <w:tcBorders>
              <w:top w:val="single" w:color="auto" w:sz="4" w:space="0"/>
              <w:left w:val="single" w:color="auto" w:sz="4" w:space="0"/>
              <w:bottom w:val="single" w:color="auto" w:sz="4" w:space="0"/>
            </w:tcBorders>
            <w:shd w:val="clear" w:color="auto" w:fill="auto"/>
          </w:tcPr>
          <w:p>
            <w:pPr>
              <w:pStyle w:val="11"/>
              <w:rPr>
                <w:sz w:val="24"/>
                <w:szCs w:val="24"/>
              </w:rPr>
            </w:pPr>
            <w:r>
              <w:rPr>
                <w:color w:val="000000"/>
                <w:sz w:val="24"/>
                <w:szCs w:val="24"/>
                <w:lang w:eastAsia="uk-UA" w:bidi="uk-UA"/>
              </w:rPr>
              <w:t>кг</w:t>
            </w:r>
          </w:p>
        </w:tc>
        <w:tc>
          <w:tcPr>
            <w:tcW w:w="1164" w:type="dxa"/>
            <w:tcBorders>
              <w:top w:val="single" w:color="auto" w:sz="4" w:space="0"/>
              <w:left w:val="single" w:color="auto" w:sz="4" w:space="0"/>
              <w:bottom w:val="single" w:color="auto" w:sz="4" w:space="0"/>
              <w:right w:val="single" w:color="auto" w:sz="4" w:space="0"/>
            </w:tcBorders>
            <w:shd w:val="clear" w:color="auto" w:fill="auto"/>
          </w:tcPr>
          <w:p>
            <w:pPr>
              <w:pStyle w:val="11"/>
              <w:rPr>
                <w:sz w:val="24"/>
                <w:szCs w:val="24"/>
              </w:rPr>
            </w:pPr>
            <w:r>
              <w:rPr>
                <w:color w:val="000000"/>
                <w:sz w:val="24"/>
                <w:szCs w:val="24"/>
                <w:lang w:eastAsia="uk-UA" w:bidi="uk-UA"/>
              </w:rPr>
              <w:t>2</w:t>
            </w:r>
          </w:p>
        </w:tc>
      </w:tr>
      <w:tr>
        <w:trPr>
          <w:trHeight w:val="5323" w:hRule="exact"/>
        </w:trPr>
        <w:tc>
          <w:tcPr>
            <w:tcW w:w="567" w:type="dxa"/>
            <w:tcBorders>
              <w:top w:val="single" w:color="auto" w:sz="4" w:space="0"/>
              <w:left w:val="single" w:color="auto" w:sz="4" w:space="0"/>
              <w:bottom w:val="single" w:color="auto" w:sz="4" w:space="0"/>
            </w:tcBorders>
            <w:shd w:val="clear" w:color="auto" w:fill="auto"/>
            <w:vAlign w:val="center"/>
          </w:tcPr>
          <w:p>
            <w:pPr>
              <w:pStyle w:val="11"/>
              <w:ind w:firstLine="140"/>
              <w:jc w:val="center"/>
              <w:rPr>
                <w:sz w:val="24"/>
                <w:szCs w:val="24"/>
              </w:rPr>
            </w:pPr>
            <w:r>
              <w:rPr>
                <w:color w:val="000000"/>
                <w:sz w:val="24"/>
                <w:szCs w:val="24"/>
                <w:lang w:eastAsia="uk-UA" w:bidi="uk-UA"/>
              </w:rPr>
              <w:t>5</w:t>
            </w:r>
          </w:p>
        </w:tc>
        <w:tc>
          <w:tcPr>
            <w:tcW w:w="1808" w:type="dxa"/>
            <w:tcBorders>
              <w:top w:val="single" w:color="auto" w:sz="4" w:space="0"/>
              <w:left w:val="single" w:color="auto" w:sz="4" w:space="0"/>
              <w:bottom w:val="single" w:color="auto" w:sz="4" w:space="0"/>
            </w:tcBorders>
            <w:shd w:val="clear" w:color="auto" w:fill="auto"/>
            <w:vAlign w:val="center"/>
          </w:tcPr>
          <w:p>
            <w:pPr>
              <w:pStyle w:val="11"/>
              <w:ind w:right="124"/>
              <w:jc w:val="center"/>
              <w:rPr>
                <w:sz w:val="24"/>
                <w:szCs w:val="24"/>
              </w:rPr>
            </w:pPr>
            <w:r>
              <w:rPr>
                <w:color w:val="000000"/>
                <w:sz w:val="24"/>
                <w:szCs w:val="24"/>
                <w:lang w:eastAsia="uk-UA" w:bidi="uk-UA"/>
              </w:rPr>
              <w:t>Ентерокок агар</w:t>
            </w:r>
          </w:p>
        </w:tc>
        <w:tc>
          <w:tcPr>
            <w:tcW w:w="6280" w:type="dxa"/>
            <w:tcBorders>
              <w:top w:val="single" w:color="auto" w:sz="4" w:space="0"/>
              <w:left w:val="single" w:color="auto" w:sz="4" w:space="0"/>
              <w:bottom w:val="single" w:color="auto" w:sz="4" w:space="0"/>
            </w:tcBorders>
            <w:shd w:val="clear" w:color="auto" w:fill="auto"/>
          </w:tcPr>
          <w:p>
            <w:pPr>
              <w:pStyle w:val="11"/>
              <w:ind w:right="130"/>
              <w:jc w:val="both"/>
              <w:rPr>
                <w:sz w:val="24"/>
                <w:szCs w:val="24"/>
              </w:rPr>
            </w:pPr>
            <w:r>
              <w:rPr>
                <w:color w:val="000000"/>
                <w:sz w:val="24"/>
                <w:szCs w:val="24"/>
                <w:lang w:eastAsia="uk-UA" w:bidi="uk-UA"/>
              </w:rPr>
              <w:t>Сухий препарат у вигляді гомогенного сипучого порошку світло жовтого кольору.</w:t>
            </w:r>
          </w:p>
          <w:p>
            <w:pPr>
              <w:pStyle w:val="11"/>
              <w:ind w:right="130"/>
              <w:jc w:val="both"/>
              <w:rPr>
                <w:sz w:val="24"/>
                <w:szCs w:val="24"/>
              </w:rPr>
            </w:pPr>
            <w:r>
              <w:rPr>
                <w:color w:val="000000"/>
                <w:sz w:val="24"/>
                <w:szCs w:val="24"/>
                <w:lang w:eastAsia="uk-UA" w:bidi="uk-UA"/>
              </w:rPr>
              <w:t>Упаковка - пластиковий контейнер по 500г;</w:t>
            </w:r>
          </w:p>
          <w:p>
            <w:pPr>
              <w:pStyle w:val="11"/>
              <w:ind w:right="130"/>
              <w:jc w:val="both"/>
              <w:rPr>
                <w:sz w:val="24"/>
                <w:szCs w:val="24"/>
              </w:rPr>
            </w:pPr>
            <w:r>
              <w:rPr>
                <w:color w:val="000000"/>
                <w:sz w:val="24"/>
                <w:szCs w:val="24"/>
                <w:lang w:eastAsia="uk-UA" w:bidi="uk-UA"/>
              </w:rPr>
              <w:t>Оригінальна заводська упаковка, неперефасований;</w:t>
            </w:r>
          </w:p>
          <w:p>
            <w:pPr>
              <w:pStyle w:val="11"/>
              <w:ind w:right="130"/>
              <w:jc w:val="both"/>
              <w:rPr>
                <w:sz w:val="24"/>
                <w:szCs w:val="24"/>
              </w:rPr>
            </w:pPr>
            <w:r>
              <w:rPr>
                <w:color w:val="000000"/>
                <w:sz w:val="24"/>
                <w:szCs w:val="24"/>
                <w:lang w:eastAsia="uk-UA" w:bidi="uk-UA"/>
              </w:rPr>
              <w:t xml:space="preserve">Відповідність стандартам </w:t>
            </w:r>
            <w:r>
              <w:rPr>
                <w:color w:val="000000"/>
                <w:sz w:val="24"/>
                <w:szCs w:val="24"/>
                <w:lang w:val="en-US" w:eastAsia="uk-UA" w:bidi="uk-UA"/>
              </w:rPr>
              <w:t>ISO</w:t>
            </w:r>
            <w:r>
              <w:rPr>
                <w:color w:val="000000"/>
                <w:sz w:val="24"/>
                <w:szCs w:val="24"/>
                <w:lang w:eastAsia="uk-UA" w:bidi="uk-UA"/>
              </w:rPr>
              <w:t xml:space="preserve">, </w:t>
            </w:r>
            <w:r>
              <w:rPr>
                <w:color w:val="000000"/>
                <w:sz w:val="24"/>
                <w:szCs w:val="24"/>
                <w:lang w:val="en-US" w:eastAsia="uk-UA" w:bidi="uk-UA"/>
              </w:rPr>
              <w:t>G</w:t>
            </w:r>
            <w:r>
              <w:rPr>
                <w:color w:val="000000"/>
                <w:sz w:val="24"/>
                <w:szCs w:val="24"/>
                <w:lang w:eastAsia="uk-UA" w:bidi="uk-UA"/>
              </w:rPr>
              <w:t>МР, та українським стандартам якості;</w:t>
            </w:r>
          </w:p>
          <w:p>
            <w:pPr>
              <w:pStyle w:val="11"/>
              <w:ind w:right="130"/>
              <w:jc w:val="both"/>
              <w:rPr>
                <w:sz w:val="24"/>
                <w:szCs w:val="24"/>
              </w:rPr>
            </w:pPr>
            <w:r>
              <w:rPr>
                <w:color w:val="000000"/>
                <w:sz w:val="24"/>
                <w:szCs w:val="24"/>
                <w:lang w:eastAsia="uk-UA" w:bidi="uk-UA"/>
              </w:rPr>
              <w:t>Відповідає прописам іноземних та українських фармакопей</w:t>
            </w:r>
          </w:p>
          <w:p>
            <w:pPr>
              <w:pStyle w:val="11"/>
              <w:ind w:right="130"/>
              <w:jc w:val="both"/>
              <w:rPr>
                <w:sz w:val="24"/>
                <w:szCs w:val="24"/>
              </w:rPr>
            </w:pPr>
            <w:r>
              <w:rPr>
                <w:color w:val="000000"/>
                <w:sz w:val="24"/>
                <w:szCs w:val="24"/>
                <w:lang w:eastAsia="uk-UA" w:bidi="uk-UA"/>
              </w:rPr>
              <w:t>Маркування етикетки згідно вимог чинного законодавства та українською мовою;</w:t>
            </w:r>
          </w:p>
          <w:p>
            <w:pPr>
              <w:pStyle w:val="11"/>
              <w:ind w:right="130"/>
              <w:jc w:val="both"/>
              <w:rPr>
                <w:sz w:val="24"/>
                <w:szCs w:val="24"/>
              </w:rPr>
            </w:pPr>
            <w:r>
              <w:rPr>
                <w:color w:val="000000"/>
                <w:sz w:val="24"/>
                <w:szCs w:val="24"/>
                <w:lang w:eastAsia="uk-UA" w:bidi="uk-UA"/>
              </w:rPr>
              <w:t>Сертифікати аналізу та якості (оригінал та переклад);</w:t>
            </w:r>
          </w:p>
          <w:p>
            <w:pPr>
              <w:pStyle w:val="11"/>
              <w:ind w:right="130"/>
              <w:jc w:val="both"/>
              <w:rPr>
                <w:sz w:val="24"/>
                <w:szCs w:val="24"/>
              </w:rPr>
            </w:pPr>
            <w:r>
              <w:rPr>
                <w:color w:val="000000"/>
                <w:sz w:val="24"/>
                <w:szCs w:val="24"/>
                <w:lang w:eastAsia="uk-UA" w:bidi="uk-UA"/>
              </w:rPr>
              <w:t xml:space="preserve">Діюча реєстрація в Україні або відповідність Технічному регламенту щодо медичних виробів для діагностики </w:t>
            </w:r>
            <w:r>
              <w:rPr>
                <w:color w:val="000000"/>
                <w:sz w:val="24"/>
                <w:szCs w:val="24"/>
                <w:lang w:val="en-US" w:eastAsia="uk-UA" w:bidi="uk-UA"/>
              </w:rPr>
              <w:t>in</w:t>
            </w:r>
            <w:r>
              <w:rPr>
                <w:color w:val="000000"/>
                <w:sz w:val="24"/>
                <w:szCs w:val="24"/>
                <w:lang w:eastAsia="uk-UA" w:bidi="uk-UA"/>
              </w:rPr>
              <w:t xml:space="preserve"> </w:t>
            </w:r>
            <w:r>
              <w:rPr>
                <w:color w:val="000000"/>
                <w:sz w:val="24"/>
                <w:szCs w:val="24"/>
                <w:lang w:val="en-US" w:eastAsia="uk-UA" w:bidi="uk-UA"/>
              </w:rPr>
              <w:t>vitro</w:t>
            </w:r>
            <w:r>
              <w:rPr>
                <w:smallCaps/>
                <w:color w:val="000000"/>
                <w:sz w:val="24"/>
                <w:szCs w:val="24"/>
                <w:lang w:eastAsia="uk-UA" w:bidi="uk-UA"/>
              </w:rPr>
              <w:t>;</w:t>
            </w:r>
          </w:p>
          <w:p>
            <w:pPr>
              <w:pStyle w:val="11"/>
              <w:ind w:right="130"/>
              <w:jc w:val="both"/>
              <w:rPr>
                <w:sz w:val="24"/>
                <w:szCs w:val="24"/>
              </w:rPr>
            </w:pPr>
            <w:r>
              <w:rPr>
                <w:color w:val="000000"/>
                <w:sz w:val="24"/>
                <w:szCs w:val="24"/>
                <w:lang w:eastAsia="uk-UA" w:bidi="uk-UA"/>
              </w:rPr>
              <w:t>Інструкція українською мовою;</w:t>
            </w:r>
          </w:p>
          <w:p>
            <w:pPr>
              <w:pStyle w:val="11"/>
              <w:ind w:right="130"/>
              <w:jc w:val="both"/>
              <w:rPr>
                <w:sz w:val="24"/>
                <w:szCs w:val="24"/>
              </w:rPr>
            </w:pPr>
            <w:r>
              <w:rPr>
                <w:color w:val="000000"/>
                <w:sz w:val="24"/>
                <w:szCs w:val="24"/>
                <w:lang w:eastAsia="uk-UA" w:bidi="uk-UA"/>
              </w:rPr>
              <w:t>Термін придатності - не менше 2 років;</w:t>
            </w:r>
          </w:p>
          <w:p>
            <w:pPr>
              <w:pStyle w:val="11"/>
              <w:ind w:right="130"/>
              <w:jc w:val="both"/>
              <w:rPr>
                <w:sz w:val="24"/>
                <w:szCs w:val="24"/>
              </w:rPr>
            </w:pPr>
            <w:r>
              <w:rPr>
                <w:color w:val="000000"/>
                <w:sz w:val="24"/>
                <w:szCs w:val="24"/>
                <w:lang w:eastAsia="uk-UA" w:bidi="uk-UA"/>
              </w:rPr>
              <w:t>Перевірений тест-культурами АТСС на ростові властивості.</w:t>
            </w:r>
          </w:p>
        </w:tc>
        <w:tc>
          <w:tcPr>
            <w:tcW w:w="843" w:type="dxa"/>
            <w:tcBorders>
              <w:top w:val="single" w:color="auto" w:sz="4" w:space="0"/>
              <w:left w:val="single" w:color="auto" w:sz="4" w:space="0"/>
              <w:bottom w:val="single" w:color="auto" w:sz="4" w:space="0"/>
            </w:tcBorders>
            <w:shd w:val="clear" w:color="auto" w:fill="auto"/>
          </w:tcPr>
          <w:p>
            <w:pPr>
              <w:pStyle w:val="11"/>
              <w:rPr>
                <w:sz w:val="24"/>
                <w:szCs w:val="24"/>
              </w:rPr>
            </w:pPr>
            <w:r>
              <w:rPr>
                <w:color w:val="000000"/>
                <w:sz w:val="24"/>
                <w:szCs w:val="24"/>
                <w:lang w:eastAsia="uk-UA" w:bidi="uk-UA"/>
              </w:rPr>
              <w:t>кг</w:t>
            </w:r>
          </w:p>
        </w:tc>
        <w:tc>
          <w:tcPr>
            <w:tcW w:w="1164" w:type="dxa"/>
            <w:tcBorders>
              <w:top w:val="single" w:color="auto" w:sz="4" w:space="0"/>
              <w:left w:val="single" w:color="auto" w:sz="4" w:space="0"/>
              <w:bottom w:val="single" w:color="auto" w:sz="4" w:space="0"/>
              <w:right w:val="single" w:color="auto" w:sz="4" w:space="0"/>
            </w:tcBorders>
            <w:shd w:val="clear" w:color="auto" w:fill="auto"/>
          </w:tcPr>
          <w:p>
            <w:pPr>
              <w:pStyle w:val="11"/>
              <w:rPr>
                <w:sz w:val="24"/>
                <w:szCs w:val="24"/>
              </w:rPr>
            </w:pPr>
            <w:r>
              <w:rPr>
                <w:color w:val="000000"/>
                <w:sz w:val="24"/>
                <w:szCs w:val="24"/>
                <w:lang w:eastAsia="uk-UA" w:bidi="uk-UA"/>
              </w:rPr>
              <w:t>0,5</w:t>
            </w:r>
          </w:p>
        </w:tc>
      </w:tr>
    </w:tbl>
    <w:p>
      <w:pPr>
        <w:pStyle w:val="8"/>
        <w:jc w:val="both"/>
        <w:rPr>
          <w:szCs w:val="28"/>
          <w:lang w:val="uk-UA"/>
        </w:rPr>
      </w:pPr>
    </w:p>
    <w:p>
      <w:pPr>
        <w:pStyle w:val="8"/>
        <w:jc w:val="both"/>
        <w:rPr>
          <w:szCs w:val="28"/>
          <w:lang w:val="uk-UA"/>
        </w:rPr>
      </w:pPr>
    </w:p>
    <w:p/>
    <w:sectPr>
      <w:head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Microsoft Sans Serif">
    <w:panose1 w:val="020B0604020202020204"/>
    <w:charset w:val="CC"/>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C5"/>
    <w:rsid w:val="003920D1"/>
    <w:rsid w:val="004C412E"/>
    <w:rsid w:val="004F3093"/>
    <w:rsid w:val="00685470"/>
    <w:rsid w:val="006B3022"/>
    <w:rsid w:val="00812A13"/>
    <w:rsid w:val="00B72BBC"/>
    <w:rsid w:val="00BE22D6"/>
    <w:rsid w:val="00C317C5"/>
    <w:rsid w:val="00C720DC"/>
    <w:rsid w:val="00F3579F"/>
    <w:rsid w:val="5FE71350"/>
    <w:rsid w:val="7BBF1D3E"/>
    <w:rsid w:val="B7B76D40"/>
    <w:rsid w:val="EEFFA41B"/>
    <w:rsid w:val="F3EE7548"/>
    <w:rsid w:val="F7FD4831"/>
    <w:rsid w:val="FED3EB01"/>
    <w:rsid w:val="FFAF128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819"/>
        <w:tab w:val="right" w:pos="9639"/>
      </w:tabs>
      <w:spacing w:after="0" w:line="240" w:lineRule="auto"/>
    </w:pPr>
  </w:style>
  <w:style w:type="paragraph" w:styleId="5">
    <w:name w:val="header"/>
    <w:basedOn w:val="1"/>
    <w:link w:val="9"/>
    <w:unhideWhenUsed/>
    <w:uiPriority w:val="99"/>
    <w:pPr>
      <w:tabs>
        <w:tab w:val="center" w:pos="4819"/>
        <w:tab w:val="right" w:pos="9639"/>
      </w:tabs>
      <w:spacing w:after="0" w:line="240" w:lineRule="auto"/>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9">
    <w:name w:val="Верхній колонтитул Знак"/>
    <w:basedOn w:val="2"/>
    <w:link w:val="5"/>
    <w:uiPriority w:val="99"/>
  </w:style>
  <w:style w:type="character" w:customStyle="1" w:styleId="10">
    <w:name w:val="Нижній колонтитул Знак"/>
    <w:basedOn w:val="2"/>
    <w:link w:val="4"/>
    <w:uiPriority w:val="99"/>
  </w:style>
  <w:style w:type="paragraph" w:customStyle="1" w:styleId="11">
    <w:name w:val="Інше"/>
    <w:basedOn w:val="1"/>
    <w:uiPriority w:val="0"/>
    <w:rPr>
      <w:rFonts w:ascii="Times New Roman" w:hAnsi="Times New Roman" w:eastAsia="Times New Roman" w:cs="Times New Roman"/>
      <w:color w:val="auto"/>
      <w:sz w:val="18"/>
      <w:szCs w:val="18"/>
      <w:lang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5</Pages>
  <Words>8666</Words>
  <Characters>4940</Characters>
  <Lines>41</Lines>
  <Paragraphs>27</Paragraphs>
  <TotalTime>3</TotalTime>
  <ScaleCrop>false</ScaleCrop>
  <LinksUpToDate>false</LinksUpToDate>
  <CharactersWithSpaces>13579</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2023-09-27T00:49:00Z</dcterms:created>
  <dc:creator>Denis</dc:creator>
  <cp:lastModifiedBy>google1589453068</cp:lastModifiedBy>
  <dcterms:modified xsi:type="dcterms:W3CDTF">2024-01-21T17:17:25Z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