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E656E" w14:textId="4D8B3974" w:rsidR="005B52DD" w:rsidRDefault="005B52DD" w:rsidP="005B52DD">
      <w:pPr>
        <w:pStyle w:val="a3"/>
        <w:widowControl w:val="0"/>
        <w:ind w:right="-2"/>
        <w:jc w:val="center"/>
        <w:rPr>
          <w:b/>
          <w:sz w:val="28"/>
          <w:szCs w:val="28"/>
        </w:rPr>
      </w:pPr>
      <w:r w:rsidRPr="004022E2">
        <w:rPr>
          <w:b/>
          <w:sz w:val="28"/>
          <w:szCs w:val="28"/>
        </w:rPr>
        <w:t xml:space="preserve">Зміни до </w:t>
      </w:r>
      <w:r w:rsidRPr="0022613A">
        <w:rPr>
          <w:b/>
          <w:sz w:val="28"/>
          <w:szCs w:val="28"/>
        </w:rPr>
        <w:t>тендерної документації</w:t>
      </w:r>
    </w:p>
    <w:p w14:paraId="7127FCF7" w14:textId="77777777" w:rsidR="00BE6BC1" w:rsidRPr="0022613A" w:rsidRDefault="00BE6BC1" w:rsidP="005B52DD">
      <w:pPr>
        <w:pStyle w:val="a3"/>
        <w:widowControl w:val="0"/>
        <w:ind w:right="-2"/>
        <w:jc w:val="center"/>
        <w:rPr>
          <w:b/>
          <w:sz w:val="28"/>
          <w:szCs w:val="28"/>
        </w:rPr>
      </w:pPr>
    </w:p>
    <w:p w14:paraId="3626ED06" w14:textId="11F71271" w:rsidR="005B52DD" w:rsidRDefault="00BE6BC1" w:rsidP="005B52DD">
      <w:pPr>
        <w:jc w:val="center"/>
        <w:rPr>
          <w:b/>
          <w:bCs/>
          <w:szCs w:val="24"/>
          <w:lang w:eastAsia="zh-CN"/>
        </w:rPr>
      </w:pPr>
      <w:proofErr w:type="spellStart"/>
      <w:r w:rsidRPr="00BE6BC1">
        <w:rPr>
          <w:b/>
          <w:bCs/>
          <w:szCs w:val="24"/>
          <w:lang w:eastAsia="zh-CN"/>
        </w:rPr>
        <w:t>Напівбрикет</w:t>
      </w:r>
      <w:proofErr w:type="spellEnd"/>
      <w:r w:rsidRPr="00BE6BC1">
        <w:rPr>
          <w:b/>
          <w:bCs/>
          <w:szCs w:val="24"/>
          <w:lang w:eastAsia="zh-CN"/>
        </w:rPr>
        <w:t xml:space="preserve"> торф’яний, вугілля кам’яне (ДК 021:2015: 09110000-3 – Тверде паливо)</w:t>
      </w:r>
    </w:p>
    <w:p w14:paraId="4E8B355E" w14:textId="77777777" w:rsidR="00BE6BC1" w:rsidRDefault="00BE6BC1" w:rsidP="005B52DD">
      <w:pPr>
        <w:jc w:val="center"/>
        <w:rPr>
          <w:b/>
          <w:color w:val="000000"/>
          <w:szCs w:val="24"/>
        </w:rPr>
      </w:pPr>
    </w:p>
    <w:p w14:paraId="0E5FCF6E" w14:textId="281632E1" w:rsidR="005B52DD" w:rsidRPr="001E4AF4" w:rsidRDefault="005B52DD" w:rsidP="005B52DD">
      <w:pPr>
        <w:jc w:val="both"/>
        <w:rPr>
          <w:rFonts w:eastAsia="Batang"/>
        </w:rPr>
      </w:pPr>
      <w:r w:rsidRPr="00A9356E">
        <w:rPr>
          <w:rFonts w:eastAsia="Batang"/>
        </w:rPr>
        <w:tab/>
      </w:r>
      <w:r>
        <w:rPr>
          <w:rFonts w:eastAsia="Batang"/>
        </w:rPr>
        <w:t>Уповноваженою особою</w:t>
      </w:r>
      <w:r w:rsidRPr="00A9356E">
        <w:rPr>
          <w:rFonts w:eastAsia="Batang"/>
        </w:rPr>
        <w:t xml:space="preserve"> було прийнято рішення про внесення змін до тендерної документації відповідно до ч.2 ст. 2</w:t>
      </w:r>
      <w:r>
        <w:rPr>
          <w:rFonts w:eastAsia="Batang"/>
        </w:rPr>
        <w:t>4</w:t>
      </w:r>
      <w:r w:rsidRPr="00A9356E">
        <w:rPr>
          <w:rFonts w:eastAsia="Batang"/>
        </w:rPr>
        <w:t xml:space="preserve"> Закону України «Про публічні закупівлі»</w:t>
      </w:r>
      <w:r>
        <w:rPr>
          <w:rFonts w:eastAsia="Batang"/>
        </w:rPr>
        <w:t xml:space="preserve"> </w:t>
      </w:r>
      <w:r w:rsidRPr="00A9356E">
        <w:rPr>
          <w:rFonts w:eastAsia="Batang"/>
        </w:rPr>
        <w:t>«</w:t>
      </w:r>
      <w:r w:rsidRPr="001E4AF4">
        <w:rPr>
          <w:rFonts w:eastAsia="Batang"/>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w:t>
      </w:r>
      <w:r>
        <w:rPr>
          <w:rFonts w:eastAsia="Batang"/>
        </w:rPr>
        <w:t xml:space="preserve"> </w:t>
      </w:r>
      <w:hyperlink r:id="rId5" w:anchor="n960" w:history="1">
        <w:r w:rsidRPr="001E4AF4">
          <w:rPr>
            <w:rFonts w:eastAsia="Batang"/>
          </w:rPr>
          <w:t>статті 8</w:t>
        </w:r>
      </w:hyperlink>
      <w:r>
        <w:rPr>
          <w:rFonts w:eastAsia="Batang"/>
        </w:rPr>
        <w:t xml:space="preserve"> </w:t>
      </w:r>
      <w:r w:rsidRPr="001E4AF4">
        <w:rPr>
          <w:rFonts w:eastAsia="Batang"/>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25A91">
        <w:rPr>
          <w:rFonts w:eastAsia="Batang"/>
        </w:rPr>
        <w:t>позицій залишалося не менше чотири дні</w:t>
      </w:r>
      <w:r w:rsidRPr="001E4AF4">
        <w:rPr>
          <w:rFonts w:eastAsia="Batang"/>
        </w:rPr>
        <w:t>.</w:t>
      </w:r>
    </w:p>
    <w:p w14:paraId="0CA5770C" w14:textId="77777777" w:rsidR="005B52DD" w:rsidRDefault="005B52DD" w:rsidP="005B52DD">
      <w:pPr>
        <w:shd w:val="clear" w:color="auto" w:fill="FFFFFF"/>
        <w:ind w:firstLine="450"/>
        <w:jc w:val="both"/>
        <w:textAlignment w:val="baseline"/>
        <w:rPr>
          <w:szCs w:val="24"/>
          <w:lang w:eastAsia="uk-UA"/>
        </w:rPr>
      </w:pPr>
      <w:bookmarkStart w:id="0" w:name="n432"/>
      <w:bookmarkEnd w:id="0"/>
      <w:r w:rsidRPr="00A9356E">
        <w:rPr>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bookmarkStart w:id="1" w:name="n433"/>
      <w:bookmarkEnd w:id="1"/>
      <w:r>
        <w:rPr>
          <w:szCs w:val="24"/>
          <w:lang w:eastAsia="uk-UA"/>
        </w:rPr>
        <w:t>».</w:t>
      </w:r>
    </w:p>
    <w:p w14:paraId="42D4B0CB" w14:textId="77777777" w:rsidR="005B52DD" w:rsidRDefault="005B52DD" w:rsidP="005B52DD">
      <w:pPr>
        <w:shd w:val="clear" w:color="auto" w:fill="FFFFFF"/>
        <w:ind w:firstLine="450"/>
        <w:jc w:val="center"/>
        <w:textAlignment w:val="baseline"/>
        <w:rPr>
          <w:b/>
          <w:szCs w:val="24"/>
          <w:lang w:eastAsia="uk-UA"/>
        </w:rPr>
      </w:pPr>
    </w:p>
    <w:p w14:paraId="748F46BE" w14:textId="6B44C0E7" w:rsidR="005B52DD" w:rsidRPr="00886FCE" w:rsidRDefault="005B52DD" w:rsidP="005B52DD">
      <w:pPr>
        <w:shd w:val="clear" w:color="auto" w:fill="FFFFFF"/>
        <w:textAlignment w:val="baseline"/>
        <w:rPr>
          <w:b/>
          <w:szCs w:val="24"/>
        </w:rPr>
      </w:pPr>
      <w:r w:rsidRPr="00886FCE">
        <w:rPr>
          <w:b/>
          <w:szCs w:val="24"/>
          <w:lang w:eastAsia="uk-UA"/>
        </w:rPr>
        <w:t>п.</w:t>
      </w:r>
      <w:r w:rsidR="00BE6BC1">
        <w:rPr>
          <w:b/>
          <w:szCs w:val="24"/>
          <w:lang w:eastAsia="uk-UA"/>
        </w:rPr>
        <w:t>4.1.1</w:t>
      </w:r>
      <w:r w:rsidRPr="00886FCE">
        <w:rPr>
          <w:b/>
          <w:szCs w:val="24"/>
          <w:lang w:eastAsia="uk-UA"/>
        </w:rPr>
        <w:t xml:space="preserve">. Розділу </w:t>
      </w:r>
      <w:r w:rsidRPr="00886FCE">
        <w:rPr>
          <w:b/>
          <w:szCs w:val="24"/>
          <w:lang w:val="en-US" w:eastAsia="uk-UA"/>
        </w:rPr>
        <w:t>IV</w:t>
      </w:r>
      <w:r w:rsidRPr="00886FCE">
        <w:rPr>
          <w:b/>
          <w:szCs w:val="24"/>
          <w:lang w:val="ru-RU" w:eastAsia="uk-UA"/>
        </w:rPr>
        <w:t xml:space="preserve"> «</w:t>
      </w:r>
      <w:r w:rsidRPr="00886FCE">
        <w:rPr>
          <w:b/>
          <w:szCs w:val="24"/>
        </w:rPr>
        <w:t>Подання та розкриття тендерної пропозиції» тендерної документації викласти в новій редакції:</w:t>
      </w:r>
    </w:p>
    <w:p w14:paraId="6F773BFC" w14:textId="3C965076" w:rsidR="00BE6BC1" w:rsidRPr="00BE6BC1" w:rsidRDefault="00BE6BC1" w:rsidP="00BE6BC1">
      <w:pPr>
        <w:shd w:val="clear" w:color="auto" w:fill="FFFFFF"/>
        <w:textAlignment w:val="baseline"/>
        <w:rPr>
          <w:bCs/>
          <w:szCs w:val="24"/>
        </w:rPr>
      </w:pPr>
      <w:r w:rsidRPr="00BE6BC1">
        <w:rPr>
          <w:bCs/>
          <w:szCs w:val="24"/>
        </w:rPr>
        <w:t>4.1.1. Кінцевий строк подання тендер</w:t>
      </w:r>
      <w:r w:rsidR="00D65C09">
        <w:rPr>
          <w:bCs/>
          <w:szCs w:val="24"/>
        </w:rPr>
        <w:t>них пропозицій</w:t>
      </w:r>
      <w:bookmarkStart w:id="2" w:name="_GoBack"/>
      <w:bookmarkEnd w:id="2"/>
      <w:r w:rsidRPr="00BE6BC1">
        <w:rPr>
          <w:bCs/>
          <w:szCs w:val="24"/>
        </w:rPr>
        <w:t xml:space="preserve">: </w:t>
      </w:r>
    </w:p>
    <w:p w14:paraId="1F376047" w14:textId="163DB447" w:rsidR="00322B52" w:rsidRPr="00BE6BC1" w:rsidRDefault="00BE6BC1" w:rsidP="00BE6BC1">
      <w:pPr>
        <w:shd w:val="clear" w:color="auto" w:fill="FFFFFF"/>
        <w:textAlignment w:val="baseline"/>
        <w:rPr>
          <w:bCs/>
          <w:szCs w:val="24"/>
        </w:rPr>
      </w:pPr>
      <w:r w:rsidRPr="00BE6BC1">
        <w:rPr>
          <w:bCs/>
          <w:szCs w:val="24"/>
        </w:rPr>
        <w:t xml:space="preserve">Дата – </w:t>
      </w:r>
      <w:r>
        <w:rPr>
          <w:bCs/>
          <w:szCs w:val="24"/>
        </w:rPr>
        <w:t>0</w:t>
      </w:r>
      <w:r w:rsidR="008E003B">
        <w:rPr>
          <w:bCs/>
          <w:szCs w:val="24"/>
        </w:rPr>
        <w:t>6</w:t>
      </w:r>
      <w:r w:rsidRPr="00BE6BC1">
        <w:rPr>
          <w:bCs/>
          <w:szCs w:val="24"/>
        </w:rPr>
        <w:t>.0</w:t>
      </w:r>
      <w:r>
        <w:rPr>
          <w:bCs/>
          <w:szCs w:val="24"/>
        </w:rPr>
        <w:t>4</w:t>
      </w:r>
      <w:r w:rsidR="00D65C09">
        <w:rPr>
          <w:bCs/>
          <w:szCs w:val="24"/>
        </w:rPr>
        <w:t>.</w:t>
      </w:r>
      <w:r w:rsidRPr="00BE6BC1">
        <w:rPr>
          <w:bCs/>
          <w:szCs w:val="24"/>
        </w:rPr>
        <w:t>2024 року до 00:00 год.</w:t>
      </w:r>
    </w:p>
    <w:p w14:paraId="4CBB15D5" w14:textId="77777777" w:rsidR="00BE6BC1" w:rsidRDefault="00BE6BC1" w:rsidP="00BE6BC1">
      <w:pPr>
        <w:shd w:val="clear" w:color="auto" w:fill="FFFFFF"/>
        <w:textAlignment w:val="baseline"/>
        <w:rPr>
          <w:b/>
          <w:szCs w:val="24"/>
          <w:lang w:val="ru-RU" w:eastAsia="uk-UA"/>
        </w:rPr>
      </w:pPr>
    </w:p>
    <w:p w14:paraId="040F77FE" w14:textId="6F280772" w:rsidR="00322B52" w:rsidRDefault="00BE6BC1" w:rsidP="005B52DD">
      <w:pPr>
        <w:shd w:val="clear" w:color="auto" w:fill="FFFFFF"/>
        <w:textAlignment w:val="baseline"/>
        <w:rPr>
          <w:b/>
          <w:szCs w:val="24"/>
          <w:lang w:val="ru-RU" w:eastAsia="uk-UA"/>
        </w:rPr>
      </w:pPr>
      <w:proofErr w:type="spellStart"/>
      <w:r>
        <w:rPr>
          <w:b/>
          <w:szCs w:val="24"/>
          <w:lang w:val="ru-RU" w:eastAsia="uk-UA"/>
        </w:rPr>
        <w:t>Пункт</w:t>
      </w:r>
      <w:r w:rsidR="00E25A91">
        <w:rPr>
          <w:b/>
          <w:szCs w:val="24"/>
          <w:lang w:val="ru-RU" w:eastAsia="uk-UA"/>
        </w:rPr>
        <w:t>и</w:t>
      </w:r>
      <w:proofErr w:type="spellEnd"/>
      <w:r>
        <w:rPr>
          <w:b/>
          <w:szCs w:val="24"/>
          <w:lang w:val="ru-RU" w:eastAsia="uk-UA"/>
        </w:rPr>
        <w:t xml:space="preserve"> </w:t>
      </w:r>
      <w:r w:rsidR="008E003B">
        <w:rPr>
          <w:b/>
          <w:szCs w:val="24"/>
          <w:lang w:val="ru-RU" w:eastAsia="uk-UA"/>
        </w:rPr>
        <w:t>4</w:t>
      </w:r>
      <w:r w:rsidR="00E25A91">
        <w:rPr>
          <w:b/>
          <w:szCs w:val="24"/>
          <w:lang w:val="ru-RU" w:eastAsia="uk-UA"/>
        </w:rPr>
        <w:t>-5</w:t>
      </w:r>
      <w:r w:rsidR="008E003B">
        <w:rPr>
          <w:b/>
          <w:szCs w:val="24"/>
          <w:lang w:val="ru-RU" w:eastAsia="uk-UA"/>
        </w:rPr>
        <w:t xml:space="preserve"> </w:t>
      </w:r>
      <w:proofErr w:type="spellStart"/>
      <w:r w:rsidR="008E003B">
        <w:rPr>
          <w:b/>
          <w:szCs w:val="24"/>
          <w:lang w:val="ru-RU" w:eastAsia="uk-UA"/>
        </w:rPr>
        <w:t>Загальних</w:t>
      </w:r>
      <w:proofErr w:type="spellEnd"/>
      <w:r w:rsidR="008E003B">
        <w:rPr>
          <w:b/>
          <w:szCs w:val="24"/>
          <w:lang w:val="ru-RU" w:eastAsia="uk-UA"/>
        </w:rPr>
        <w:t xml:space="preserve"> </w:t>
      </w:r>
      <w:proofErr w:type="spellStart"/>
      <w:r w:rsidR="008E003B">
        <w:rPr>
          <w:b/>
          <w:szCs w:val="24"/>
          <w:lang w:val="ru-RU" w:eastAsia="uk-UA"/>
        </w:rPr>
        <w:t>вимог</w:t>
      </w:r>
      <w:proofErr w:type="spellEnd"/>
      <w:r w:rsidR="008E003B">
        <w:rPr>
          <w:b/>
          <w:szCs w:val="24"/>
          <w:lang w:val="ru-RU" w:eastAsia="uk-UA"/>
        </w:rPr>
        <w:t xml:space="preserve"> </w:t>
      </w:r>
      <w:proofErr w:type="spellStart"/>
      <w:r w:rsidR="00322B52">
        <w:rPr>
          <w:b/>
          <w:szCs w:val="24"/>
          <w:lang w:val="ru-RU" w:eastAsia="uk-UA"/>
        </w:rPr>
        <w:t>Додатку</w:t>
      </w:r>
      <w:proofErr w:type="spellEnd"/>
      <w:r w:rsidR="00322B52">
        <w:rPr>
          <w:b/>
          <w:szCs w:val="24"/>
          <w:lang w:val="ru-RU" w:eastAsia="uk-UA"/>
        </w:rPr>
        <w:t xml:space="preserve"> </w:t>
      </w:r>
      <w:r>
        <w:rPr>
          <w:b/>
          <w:szCs w:val="24"/>
          <w:lang w:val="ru-RU" w:eastAsia="uk-UA"/>
        </w:rPr>
        <w:t>2</w:t>
      </w:r>
      <w:r w:rsidR="00322B52">
        <w:rPr>
          <w:b/>
          <w:szCs w:val="24"/>
          <w:lang w:val="ru-RU" w:eastAsia="uk-UA"/>
        </w:rPr>
        <w:t xml:space="preserve"> до </w:t>
      </w:r>
      <w:proofErr w:type="spellStart"/>
      <w:r w:rsidR="00322B52">
        <w:rPr>
          <w:b/>
          <w:szCs w:val="24"/>
          <w:lang w:val="ru-RU" w:eastAsia="uk-UA"/>
        </w:rPr>
        <w:t>Тендерної</w:t>
      </w:r>
      <w:proofErr w:type="spellEnd"/>
      <w:r w:rsidR="00322B52">
        <w:rPr>
          <w:b/>
          <w:szCs w:val="24"/>
          <w:lang w:val="ru-RU" w:eastAsia="uk-UA"/>
        </w:rPr>
        <w:t xml:space="preserve"> </w:t>
      </w:r>
      <w:proofErr w:type="spellStart"/>
      <w:r w:rsidR="00322B52">
        <w:rPr>
          <w:b/>
          <w:szCs w:val="24"/>
          <w:lang w:val="ru-RU" w:eastAsia="uk-UA"/>
        </w:rPr>
        <w:t>документації</w:t>
      </w:r>
      <w:proofErr w:type="spellEnd"/>
      <w:r w:rsidR="00322B52">
        <w:rPr>
          <w:b/>
          <w:szCs w:val="24"/>
          <w:lang w:val="ru-RU" w:eastAsia="uk-UA"/>
        </w:rPr>
        <w:t xml:space="preserve"> </w:t>
      </w:r>
      <w:proofErr w:type="spellStart"/>
      <w:r w:rsidR="00322B52">
        <w:rPr>
          <w:b/>
          <w:szCs w:val="24"/>
          <w:lang w:val="ru-RU" w:eastAsia="uk-UA"/>
        </w:rPr>
        <w:t>викласти</w:t>
      </w:r>
      <w:proofErr w:type="spellEnd"/>
      <w:r w:rsidR="00322B52">
        <w:rPr>
          <w:b/>
          <w:szCs w:val="24"/>
          <w:lang w:val="ru-RU" w:eastAsia="uk-UA"/>
        </w:rPr>
        <w:t xml:space="preserve"> у </w:t>
      </w:r>
      <w:proofErr w:type="spellStart"/>
      <w:r w:rsidR="00322B52">
        <w:rPr>
          <w:b/>
          <w:szCs w:val="24"/>
          <w:lang w:val="ru-RU" w:eastAsia="uk-UA"/>
        </w:rPr>
        <w:t>новій</w:t>
      </w:r>
      <w:proofErr w:type="spellEnd"/>
      <w:r w:rsidR="00322B52">
        <w:rPr>
          <w:b/>
          <w:szCs w:val="24"/>
          <w:lang w:val="ru-RU" w:eastAsia="uk-UA"/>
        </w:rPr>
        <w:t xml:space="preserve"> </w:t>
      </w:r>
      <w:proofErr w:type="spellStart"/>
      <w:r w:rsidR="00322B52">
        <w:rPr>
          <w:b/>
          <w:szCs w:val="24"/>
          <w:lang w:val="ru-RU" w:eastAsia="uk-UA"/>
        </w:rPr>
        <w:t>редакції</w:t>
      </w:r>
      <w:proofErr w:type="spellEnd"/>
      <w:r w:rsidR="00322B52">
        <w:rPr>
          <w:b/>
          <w:szCs w:val="24"/>
          <w:lang w:val="ru-RU" w:eastAsia="uk-UA"/>
        </w:rPr>
        <w:t xml:space="preserve">: </w:t>
      </w:r>
    </w:p>
    <w:p w14:paraId="511E54A9" w14:textId="77777777" w:rsidR="00BE6BC1" w:rsidRDefault="00BE6BC1" w:rsidP="005B52DD">
      <w:pPr>
        <w:shd w:val="clear" w:color="auto" w:fill="FFFFFF"/>
        <w:textAlignment w:val="baseline"/>
        <w:rPr>
          <w:b/>
          <w:szCs w:val="24"/>
          <w:lang w:val="ru-RU" w:eastAsia="uk-UA"/>
        </w:rPr>
      </w:pPr>
    </w:p>
    <w:p w14:paraId="73F6953F" w14:textId="77777777" w:rsidR="00E25A91" w:rsidRPr="00E25A91" w:rsidRDefault="00E25A91" w:rsidP="00E25A91">
      <w:pPr>
        <w:spacing w:line="0" w:lineRule="atLeast"/>
        <w:ind w:right="-142" w:firstLine="709"/>
        <w:jc w:val="both"/>
      </w:pPr>
      <w:r w:rsidRPr="00E25A91">
        <w:t xml:space="preserve">4. Відповідно до </w:t>
      </w:r>
      <w:proofErr w:type="spellStart"/>
      <w:r w:rsidRPr="00E25A91">
        <w:t>п.п</w:t>
      </w:r>
      <w:proofErr w:type="spellEnd"/>
      <w:r w:rsidRPr="00E25A91">
        <w:t xml:space="preserve">. 7.10 ДСТУ 7146:2010 «Вугілля кам’яне та антрацит для побутових потреб. Технічні умови», під час укладання договору на постачання вугілля  повинен бути представлений сертифікат генетичних, технологічних та якісних характеристик, що містить основні та додаткові параметри кодифікації вугілля середнього та високого рангів згідно з ГОСТ 30313 та Міжнародною системою кодифікації. </w:t>
      </w:r>
    </w:p>
    <w:p w14:paraId="55C87551" w14:textId="77777777" w:rsidR="00E25A91" w:rsidRDefault="00E25A91" w:rsidP="00E25A91">
      <w:pPr>
        <w:spacing w:line="0" w:lineRule="atLeast"/>
        <w:ind w:right="-142" w:firstLine="709"/>
        <w:jc w:val="both"/>
      </w:pPr>
      <w:r w:rsidRPr="00E25A91">
        <w:t xml:space="preserve">На підтвердження </w:t>
      </w:r>
      <w:proofErr w:type="spellStart"/>
      <w:r w:rsidRPr="00E25A91">
        <w:t>п.п</w:t>
      </w:r>
      <w:proofErr w:type="spellEnd"/>
      <w:r w:rsidRPr="00E25A91">
        <w:t>. 7.10 ДСТУ 7146:2010 «Вугілля кам’яне та антрацит для побутових потреб. Технічні умови», учасник надає у складі пропозиції договір на постачання вугілля, з виробником або його офіційним представником, або його покупцем, або з будь-яким іншим суб’єктом господарювання з яким в учасника укладений договір на постачання вугілля марки Г(Г2) (13-100) та  копію дійсного сертифікату генетичних, технологічних та якісних характеристик, що містить основні та додаткові параметри кодифікації вугілля середнього та високого рангів згідно з ГОСТ 30313 та Міжнародною системою кодифікації. Сертифікат має бути дійсний станом на дату кінцевого строку подання.</w:t>
      </w:r>
    </w:p>
    <w:p w14:paraId="13807C0A" w14:textId="77777777" w:rsidR="00E25A91" w:rsidRDefault="00E25A91" w:rsidP="00E25A91">
      <w:pPr>
        <w:spacing w:line="0" w:lineRule="atLeast"/>
        <w:ind w:right="-142" w:firstLine="709"/>
        <w:jc w:val="both"/>
      </w:pPr>
      <w:r>
        <w:t xml:space="preserve">5.Відповідно до </w:t>
      </w:r>
      <w:proofErr w:type="spellStart"/>
      <w:r>
        <w:t>п.п</w:t>
      </w:r>
      <w:proofErr w:type="spellEnd"/>
      <w:r>
        <w:t>. 7</w:t>
      </w:r>
      <w:r w:rsidRPr="00450257">
        <w:t>.1</w:t>
      </w:r>
      <w:r>
        <w:t>-7.5</w:t>
      </w:r>
      <w:r w:rsidRPr="00450257">
        <w:t xml:space="preserve"> ДСТУ </w:t>
      </w:r>
      <w:r>
        <w:t>7146</w:t>
      </w:r>
      <w:r w:rsidRPr="00450257">
        <w:t>:</w:t>
      </w:r>
      <w:r>
        <w:t xml:space="preserve">2010 </w:t>
      </w:r>
      <w:r w:rsidRPr="00450257">
        <w:t xml:space="preserve">«Вугілля кам’яне та антрацит для </w:t>
      </w:r>
      <w:r>
        <w:t>побутових потреб</w:t>
      </w:r>
      <w:r w:rsidRPr="00450257">
        <w:t>. Технічні умови»</w:t>
      </w:r>
      <w:r>
        <w:t>, прийнятою до відправлення вважають, партію вугілля від якої відібрано товарну пробу згідно з ДСТУ 4096, для оформлення посвідчення про якість. Посвідчення про якість має містити: назву підприємства-</w:t>
      </w:r>
      <w:r w:rsidRPr="0072238E">
        <w:t>вироб</w:t>
      </w:r>
      <w:r>
        <w:t xml:space="preserve">ника, назву споживача та дату відправлення, номер та дату договору про постачання, номери вагонів або інших транспортних засобів, масу  нетто, позначення цього стандарту,  назву продукції (марку вугілля, розмір кусків вугілля), результати аналізування (значення нижчої теплоти згорання на робочий стан палива </w:t>
      </w:r>
      <w:proofErr w:type="spellStart"/>
      <w:r>
        <w:rPr>
          <w:sz w:val="28"/>
          <w:szCs w:val="28"/>
          <w:lang w:val="en-US"/>
        </w:rPr>
        <w:t>Q</w:t>
      </w:r>
      <w:r>
        <w:rPr>
          <w:sz w:val="28"/>
          <w:szCs w:val="28"/>
          <w:vertAlign w:val="superscript"/>
          <w:lang w:val="en-US"/>
        </w:rPr>
        <w:t>r</w:t>
      </w:r>
      <w:r>
        <w:rPr>
          <w:sz w:val="28"/>
          <w:szCs w:val="28"/>
          <w:vertAlign w:val="subscript"/>
          <w:lang w:val="en-US"/>
        </w:rPr>
        <w:t>i</w:t>
      </w:r>
      <w:proofErr w:type="spellEnd"/>
      <w:r>
        <w:rPr>
          <w:sz w:val="28"/>
          <w:szCs w:val="28"/>
          <w:vertAlign w:val="subscript"/>
        </w:rPr>
        <w:t>,</w:t>
      </w:r>
      <w:r>
        <w:rPr>
          <w:sz w:val="28"/>
          <w:szCs w:val="28"/>
        </w:rPr>
        <w:t xml:space="preserve"> </w:t>
      </w:r>
      <w:r>
        <w:t xml:space="preserve">загальної вологи на робочий стан палива </w:t>
      </w:r>
      <w:proofErr w:type="spellStart"/>
      <w:r>
        <w:rPr>
          <w:sz w:val="28"/>
          <w:szCs w:val="28"/>
          <w:lang w:val="en-US"/>
        </w:rPr>
        <w:t>W</w:t>
      </w:r>
      <w:r>
        <w:rPr>
          <w:sz w:val="28"/>
          <w:szCs w:val="28"/>
          <w:vertAlign w:val="superscript"/>
          <w:lang w:val="en-US"/>
        </w:rPr>
        <w:t>r</w:t>
      </w:r>
      <w:r>
        <w:rPr>
          <w:sz w:val="28"/>
          <w:szCs w:val="28"/>
          <w:vertAlign w:val="subscript"/>
          <w:lang w:val="en-US"/>
        </w:rPr>
        <w:t>t</w:t>
      </w:r>
      <w:proofErr w:type="spellEnd"/>
      <w:r>
        <w:t xml:space="preserve"> , </w:t>
      </w:r>
      <w:proofErr w:type="spellStart"/>
      <w:r>
        <w:t>зольністі</w:t>
      </w:r>
      <w:proofErr w:type="spellEnd"/>
      <w:r>
        <w:t xml:space="preserve"> на сухий стан палива А</w:t>
      </w:r>
      <w:r>
        <w:rPr>
          <w:vertAlign w:val="superscript"/>
          <w:lang w:val="en-US"/>
        </w:rPr>
        <w:t>d</w:t>
      </w:r>
      <w:r>
        <w:rPr>
          <w:vertAlign w:val="superscript"/>
        </w:rPr>
        <w:t xml:space="preserve"> </w:t>
      </w:r>
      <w:r>
        <w:t>, масової частки кусків розміром менше нижчої границі)</w:t>
      </w:r>
    </w:p>
    <w:p w14:paraId="580874CB" w14:textId="62E46D07" w:rsidR="00E25A91" w:rsidRPr="00E25A91" w:rsidRDefault="00E25A91" w:rsidP="00E25A91">
      <w:pPr>
        <w:spacing w:line="0" w:lineRule="atLeast"/>
        <w:ind w:right="-142" w:firstLine="709"/>
        <w:jc w:val="both"/>
      </w:pPr>
      <w:r>
        <w:rPr>
          <w:lang w:bidi="ru-RU"/>
        </w:rPr>
        <w:t xml:space="preserve">На підтвердження </w:t>
      </w:r>
      <w:proofErr w:type="spellStart"/>
      <w:r>
        <w:rPr>
          <w:lang w:bidi="ru-RU"/>
        </w:rPr>
        <w:t>п.п</w:t>
      </w:r>
      <w:proofErr w:type="spellEnd"/>
      <w:r>
        <w:rPr>
          <w:lang w:bidi="ru-RU"/>
        </w:rPr>
        <w:t>.</w:t>
      </w:r>
      <w:r w:rsidRPr="0072238E">
        <w:t xml:space="preserve"> </w:t>
      </w:r>
      <w:r>
        <w:t>7</w:t>
      </w:r>
      <w:r w:rsidRPr="00450257">
        <w:t>.1</w:t>
      </w:r>
      <w:r>
        <w:t>-7.5</w:t>
      </w:r>
      <w:r w:rsidRPr="00450257">
        <w:t xml:space="preserve"> ДСТУ </w:t>
      </w:r>
      <w:r>
        <w:t>7146</w:t>
      </w:r>
      <w:r w:rsidRPr="00450257">
        <w:t>:</w:t>
      </w:r>
      <w:r>
        <w:t xml:space="preserve">2010 </w:t>
      </w:r>
      <w:r w:rsidRPr="00450257">
        <w:t xml:space="preserve">«Вугілля кам’яне та антрацит для </w:t>
      </w:r>
      <w:r>
        <w:t>побутових потреб</w:t>
      </w:r>
      <w:r w:rsidRPr="00450257">
        <w:t>. Технічні умови»</w:t>
      </w:r>
      <w:r>
        <w:t xml:space="preserve"> </w:t>
      </w:r>
      <w:r>
        <w:rPr>
          <w:lang w:bidi="ru-RU"/>
        </w:rPr>
        <w:t xml:space="preserve">учасник процедури закупівлі учасник надає у складі пропозиції, посвідчення про якість на вугілля марки Г(Г2) (13-100), видане та оформлене у відповідності до п. 7.4. </w:t>
      </w:r>
      <w:r>
        <w:t>ДСТУ 7146:2010, надане учасником посвідчення якості за формою та змістом має відповідати  п. 7.4. ДСТУ 7146-2010 та підтверджувати всі якісні показники вказані в таблиці 1 ДСТУ 7146-2010.</w:t>
      </w:r>
      <w:r>
        <w:rPr>
          <w:lang w:bidi="ru-RU"/>
        </w:rPr>
        <w:tab/>
      </w:r>
    </w:p>
    <w:p w14:paraId="3F8FEEA3" w14:textId="77777777" w:rsidR="00E25A91" w:rsidRDefault="00E25A91" w:rsidP="00BE6BC1">
      <w:pPr>
        <w:pStyle w:val="a7"/>
        <w:jc w:val="both"/>
        <w:rPr>
          <w:rFonts w:ascii="Times New Roman" w:hAnsi="Times New Roman" w:cs="Times New Roman"/>
          <w:b/>
          <w:bCs/>
          <w:sz w:val="24"/>
          <w:szCs w:val="24"/>
          <w:lang w:val="uk-UA"/>
        </w:rPr>
      </w:pPr>
    </w:p>
    <w:p w14:paraId="43304E16" w14:textId="321CA27F" w:rsidR="00E25A91" w:rsidRPr="00E25A91" w:rsidRDefault="00E25A91" w:rsidP="00E25A91">
      <w:pPr>
        <w:rPr>
          <w:szCs w:val="24"/>
        </w:rPr>
      </w:pPr>
      <w:r>
        <w:rPr>
          <w:szCs w:val="24"/>
        </w:rPr>
        <w:lastRenderedPageBreak/>
        <w:t>Абзац перший п</w:t>
      </w:r>
      <w:r w:rsidRPr="00E25A91">
        <w:rPr>
          <w:szCs w:val="24"/>
        </w:rPr>
        <w:t>ункт</w:t>
      </w:r>
      <w:r>
        <w:rPr>
          <w:szCs w:val="24"/>
        </w:rPr>
        <w:t xml:space="preserve">у Технічні та якісні вимоги </w:t>
      </w:r>
      <w:r w:rsidRPr="00E25A91">
        <w:rPr>
          <w:szCs w:val="24"/>
        </w:rPr>
        <w:t xml:space="preserve"> Додатку 2 до Тендерної документації викласти у новій редакції: </w:t>
      </w:r>
    </w:p>
    <w:p w14:paraId="69F967EB" w14:textId="77777777" w:rsidR="00E25A91" w:rsidRPr="00E25A91" w:rsidRDefault="00E25A91" w:rsidP="00E25A91">
      <w:pPr>
        <w:tabs>
          <w:tab w:val="left" w:pos="567"/>
        </w:tabs>
        <w:spacing w:line="0" w:lineRule="atLeast"/>
        <w:ind w:right="-142" w:firstLine="709"/>
        <w:jc w:val="both"/>
        <w:rPr>
          <w:szCs w:val="24"/>
        </w:rPr>
      </w:pPr>
      <w:r w:rsidRPr="00E25A91">
        <w:rPr>
          <w:szCs w:val="24"/>
        </w:rPr>
        <w:t>Технічні та якісні вимоги</w:t>
      </w:r>
    </w:p>
    <w:p w14:paraId="016A9518" w14:textId="201480DC" w:rsidR="00E25A91" w:rsidRPr="00E25A91" w:rsidRDefault="00E25A91" w:rsidP="00E25A91">
      <w:pPr>
        <w:tabs>
          <w:tab w:val="left" w:pos="567"/>
        </w:tabs>
        <w:spacing w:line="0" w:lineRule="atLeast"/>
        <w:ind w:right="-142" w:firstLine="709"/>
        <w:jc w:val="both"/>
        <w:rPr>
          <w:szCs w:val="24"/>
        </w:rPr>
      </w:pPr>
      <w:proofErr w:type="spellStart"/>
      <w:r w:rsidRPr="00E25A91">
        <w:rPr>
          <w:szCs w:val="24"/>
        </w:rPr>
        <w:t>Напівбрикет</w:t>
      </w:r>
      <w:proofErr w:type="spellEnd"/>
      <w:r w:rsidRPr="00E25A91">
        <w:rPr>
          <w:szCs w:val="24"/>
        </w:rPr>
        <w:t xml:space="preserve"> торф’яний, що </w:t>
      </w:r>
      <w:proofErr w:type="spellStart"/>
      <w:r w:rsidRPr="00E25A91">
        <w:rPr>
          <w:szCs w:val="24"/>
        </w:rPr>
        <w:t>закуповується</w:t>
      </w:r>
      <w:proofErr w:type="spellEnd"/>
      <w:r w:rsidRPr="00E25A91">
        <w:rPr>
          <w:szCs w:val="24"/>
        </w:rPr>
        <w:t xml:space="preserve"> Замовником та пропонується учасниками, має відповідати РСТ 1297-82 "</w:t>
      </w:r>
      <w:proofErr w:type="spellStart"/>
      <w:r w:rsidRPr="00E25A91">
        <w:rPr>
          <w:szCs w:val="24"/>
        </w:rPr>
        <w:t>Напівбрикетибрикети</w:t>
      </w:r>
      <w:proofErr w:type="spellEnd"/>
      <w:r w:rsidRPr="00E25A91">
        <w:rPr>
          <w:szCs w:val="24"/>
        </w:rPr>
        <w:t xml:space="preserve"> торф’яні. Технічні умови", Вугілля кам’яне, що </w:t>
      </w:r>
      <w:proofErr w:type="spellStart"/>
      <w:r w:rsidRPr="00E25A91">
        <w:rPr>
          <w:szCs w:val="24"/>
        </w:rPr>
        <w:t>закуповується</w:t>
      </w:r>
      <w:proofErr w:type="spellEnd"/>
      <w:r w:rsidRPr="00E25A91">
        <w:rPr>
          <w:szCs w:val="24"/>
        </w:rPr>
        <w:t xml:space="preserve"> Замовником та пропонується учасниками, має відповідати ДСТУ 7146:2010 «Вугілля кам’яне та антрацит для побутових потреб. Технічні умови»</w:t>
      </w:r>
    </w:p>
    <w:p w14:paraId="724E90AC" w14:textId="45831BF1" w:rsidR="005B52DD" w:rsidRDefault="005B52DD" w:rsidP="005B52DD">
      <w:pPr>
        <w:ind w:firstLine="708"/>
        <w:jc w:val="both"/>
        <w:rPr>
          <w:szCs w:val="24"/>
        </w:rPr>
      </w:pPr>
    </w:p>
    <w:p w14:paraId="51D3B4A2" w14:textId="77777777" w:rsidR="00BE6BC1" w:rsidRDefault="00BE6BC1" w:rsidP="005B52DD">
      <w:pPr>
        <w:ind w:firstLine="708"/>
        <w:jc w:val="both"/>
        <w:rPr>
          <w:szCs w:val="24"/>
        </w:rPr>
      </w:pPr>
    </w:p>
    <w:p w14:paraId="4B111364" w14:textId="77777777" w:rsidR="005B52DD" w:rsidRDefault="005B52DD" w:rsidP="005B52DD">
      <w:pPr>
        <w:shd w:val="clear" w:color="auto" w:fill="FFFFFF"/>
        <w:jc w:val="both"/>
        <w:textAlignment w:val="baseline"/>
        <w:rPr>
          <w:szCs w:val="24"/>
          <w:shd w:val="clear" w:color="auto" w:fill="FFFFFF"/>
          <w:lang w:eastAsia="uk-UA"/>
        </w:rPr>
      </w:pPr>
    </w:p>
    <w:tbl>
      <w:tblPr>
        <w:tblW w:w="10906" w:type="dxa"/>
        <w:tblLayout w:type="fixed"/>
        <w:tblLook w:val="04A0" w:firstRow="1" w:lastRow="0" w:firstColumn="1" w:lastColumn="0" w:noHBand="0" w:noVBand="1"/>
      </w:tblPr>
      <w:tblGrid>
        <w:gridCol w:w="3936"/>
        <w:gridCol w:w="2998"/>
        <w:gridCol w:w="3972"/>
      </w:tblGrid>
      <w:tr w:rsidR="005B52DD" w:rsidRPr="00995E1D" w14:paraId="0D327B8C" w14:textId="77777777" w:rsidTr="00E25A91">
        <w:trPr>
          <w:trHeight w:val="569"/>
        </w:trPr>
        <w:tc>
          <w:tcPr>
            <w:tcW w:w="3936" w:type="dxa"/>
          </w:tcPr>
          <w:p w14:paraId="6921B55F" w14:textId="77777777" w:rsidR="005B52DD" w:rsidRPr="00D9272F" w:rsidRDefault="005B52DD" w:rsidP="00666BF9">
            <w:pPr>
              <w:tabs>
                <w:tab w:val="left" w:pos="1440"/>
              </w:tabs>
              <w:rPr>
                <w:b/>
              </w:rPr>
            </w:pPr>
            <w:r>
              <w:rPr>
                <w:b/>
              </w:rPr>
              <w:t xml:space="preserve">  </w:t>
            </w:r>
            <w:r w:rsidRPr="00D9272F">
              <w:rPr>
                <w:b/>
              </w:rPr>
              <w:t>Уповноважена особа</w:t>
            </w:r>
          </w:p>
          <w:p w14:paraId="4D37F9BE" w14:textId="77777777" w:rsidR="005B52DD" w:rsidRPr="00D9272F" w:rsidRDefault="005B52DD" w:rsidP="00666BF9">
            <w:pPr>
              <w:tabs>
                <w:tab w:val="left" w:pos="1440"/>
              </w:tabs>
            </w:pPr>
          </w:p>
        </w:tc>
        <w:tc>
          <w:tcPr>
            <w:tcW w:w="2998" w:type="dxa"/>
            <w:vAlign w:val="center"/>
          </w:tcPr>
          <w:p w14:paraId="7774CE01" w14:textId="77777777" w:rsidR="005B52DD" w:rsidRPr="00D9272F" w:rsidRDefault="005B52DD" w:rsidP="00666BF9">
            <w:pPr>
              <w:tabs>
                <w:tab w:val="left" w:pos="1440"/>
              </w:tabs>
              <w:jc w:val="center"/>
            </w:pPr>
            <w:r w:rsidRPr="00D9272F">
              <w:t>________________</w:t>
            </w:r>
          </w:p>
          <w:p w14:paraId="570FF05A" w14:textId="77777777" w:rsidR="005B52DD" w:rsidRPr="00D9272F" w:rsidRDefault="005B52DD" w:rsidP="00666BF9">
            <w:pPr>
              <w:tabs>
                <w:tab w:val="left" w:pos="1440"/>
              </w:tabs>
              <w:jc w:val="center"/>
            </w:pPr>
            <w:r w:rsidRPr="00D9272F">
              <w:t>підпис</w:t>
            </w:r>
          </w:p>
        </w:tc>
        <w:tc>
          <w:tcPr>
            <w:tcW w:w="3972" w:type="dxa"/>
            <w:vAlign w:val="center"/>
          </w:tcPr>
          <w:p w14:paraId="19848D6E" w14:textId="77777777" w:rsidR="005B52DD" w:rsidRPr="00995E1D" w:rsidRDefault="005B52DD" w:rsidP="00666BF9">
            <w:pPr>
              <w:tabs>
                <w:tab w:val="left" w:pos="1440"/>
              </w:tabs>
              <w:jc w:val="center"/>
              <w:rPr>
                <w:b/>
              </w:rPr>
            </w:pPr>
            <w:r w:rsidRPr="00995E1D">
              <w:rPr>
                <w:b/>
              </w:rPr>
              <w:t>Олена КРУК</w:t>
            </w:r>
          </w:p>
        </w:tc>
      </w:tr>
    </w:tbl>
    <w:p w14:paraId="64BA6161" w14:textId="77777777" w:rsidR="005B52DD" w:rsidRDefault="005B52DD" w:rsidP="005B52DD">
      <w:pPr>
        <w:pStyle w:val="a3"/>
        <w:widowControl w:val="0"/>
        <w:ind w:right="-2"/>
        <w:jc w:val="both"/>
        <w:rPr>
          <w:color w:val="000000"/>
          <w:szCs w:val="24"/>
        </w:rPr>
      </w:pPr>
    </w:p>
    <w:p w14:paraId="5D36B6EE" w14:textId="77777777" w:rsidR="005F5853" w:rsidRDefault="005F5853"/>
    <w:sectPr w:rsidR="005F5853" w:rsidSect="00FF4F5B">
      <w:pgSz w:w="11907" w:h="16840" w:code="9"/>
      <w:pgMar w:top="426" w:right="850" w:bottom="426" w:left="99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DD"/>
    <w:rsid w:val="0028200B"/>
    <w:rsid w:val="00322B52"/>
    <w:rsid w:val="005B52DD"/>
    <w:rsid w:val="005F5853"/>
    <w:rsid w:val="00651867"/>
    <w:rsid w:val="008E003B"/>
    <w:rsid w:val="00945962"/>
    <w:rsid w:val="00AE37D1"/>
    <w:rsid w:val="00BE6BC1"/>
    <w:rsid w:val="00D65C09"/>
    <w:rsid w:val="00E25A91"/>
    <w:rsid w:val="00EF1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DD"/>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2DD"/>
    <w:pPr>
      <w:ind w:right="4109"/>
    </w:pPr>
    <w:rPr>
      <w:lang w:eastAsia="x-none"/>
    </w:rPr>
  </w:style>
  <w:style w:type="character" w:customStyle="1" w:styleId="a4">
    <w:name w:val="Основной текст Знак"/>
    <w:basedOn w:val="a0"/>
    <w:link w:val="a3"/>
    <w:rsid w:val="005B52DD"/>
    <w:rPr>
      <w:rFonts w:ascii="Times New Roman" w:eastAsia="Times New Roman" w:hAnsi="Times New Roman" w:cs="Times New Roman"/>
      <w:sz w:val="24"/>
      <w:szCs w:val="20"/>
      <w:lang w:val="uk-UA" w:eastAsia="x-none"/>
    </w:rPr>
  </w:style>
  <w:style w:type="paragraph" w:styleId="a5">
    <w:name w:val="List Paragraph"/>
    <w:aliases w:val="Список уровня 2"/>
    <w:basedOn w:val="a"/>
    <w:link w:val="a6"/>
    <w:uiPriority w:val="99"/>
    <w:qFormat/>
    <w:rsid w:val="005B52DD"/>
    <w:pPr>
      <w:ind w:left="720"/>
      <w:contextualSpacing/>
    </w:pPr>
    <w:rPr>
      <w:szCs w:val="24"/>
      <w:lang w:val="ru-RU"/>
    </w:rPr>
  </w:style>
  <w:style w:type="character" w:customStyle="1" w:styleId="a6">
    <w:name w:val="Абзац списка Знак"/>
    <w:aliases w:val="Список уровня 2 Знак"/>
    <w:link w:val="a5"/>
    <w:uiPriority w:val="99"/>
    <w:locked/>
    <w:rsid w:val="005B52DD"/>
    <w:rPr>
      <w:rFonts w:ascii="Times New Roman" w:eastAsia="Times New Roman" w:hAnsi="Times New Roman" w:cs="Times New Roman"/>
      <w:sz w:val="24"/>
      <w:szCs w:val="24"/>
      <w:lang w:eastAsia="ru-RU"/>
    </w:rPr>
  </w:style>
  <w:style w:type="paragraph" w:customStyle="1" w:styleId="a7">
    <w:name w:val="Знак Знак Знак Знак"/>
    <w:basedOn w:val="a"/>
    <w:uiPriority w:val="99"/>
    <w:rsid w:val="00322B52"/>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DD"/>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2DD"/>
    <w:pPr>
      <w:ind w:right="4109"/>
    </w:pPr>
    <w:rPr>
      <w:lang w:eastAsia="x-none"/>
    </w:rPr>
  </w:style>
  <w:style w:type="character" w:customStyle="1" w:styleId="a4">
    <w:name w:val="Основной текст Знак"/>
    <w:basedOn w:val="a0"/>
    <w:link w:val="a3"/>
    <w:rsid w:val="005B52DD"/>
    <w:rPr>
      <w:rFonts w:ascii="Times New Roman" w:eastAsia="Times New Roman" w:hAnsi="Times New Roman" w:cs="Times New Roman"/>
      <w:sz w:val="24"/>
      <w:szCs w:val="20"/>
      <w:lang w:val="uk-UA" w:eastAsia="x-none"/>
    </w:rPr>
  </w:style>
  <w:style w:type="paragraph" w:styleId="a5">
    <w:name w:val="List Paragraph"/>
    <w:aliases w:val="Список уровня 2"/>
    <w:basedOn w:val="a"/>
    <w:link w:val="a6"/>
    <w:uiPriority w:val="99"/>
    <w:qFormat/>
    <w:rsid w:val="005B52DD"/>
    <w:pPr>
      <w:ind w:left="720"/>
      <w:contextualSpacing/>
    </w:pPr>
    <w:rPr>
      <w:szCs w:val="24"/>
      <w:lang w:val="ru-RU"/>
    </w:rPr>
  </w:style>
  <w:style w:type="character" w:customStyle="1" w:styleId="a6">
    <w:name w:val="Абзац списка Знак"/>
    <w:aliases w:val="Список уровня 2 Знак"/>
    <w:link w:val="a5"/>
    <w:uiPriority w:val="99"/>
    <w:locked/>
    <w:rsid w:val="005B52DD"/>
    <w:rPr>
      <w:rFonts w:ascii="Times New Roman" w:eastAsia="Times New Roman" w:hAnsi="Times New Roman" w:cs="Times New Roman"/>
      <w:sz w:val="24"/>
      <w:szCs w:val="24"/>
      <w:lang w:eastAsia="ru-RU"/>
    </w:rPr>
  </w:style>
  <w:style w:type="paragraph" w:customStyle="1" w:styleId="a7">
    <w:name w:val="Знак Знак Знак Знак"/>
    <w:basedOn w:val="a"/>
    <w:uiPriority w:val="99"/>
    <w:rsid w:val="00322B52"/>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HOME777</cp:lastModifiedBy>
  <cp:revision>3</cp:revision>
  <dcterms:created xsi:type="dcterms:W3CDTF">2024-04-01T10:10:00Z</dcterms:created>
  <dcterms:modified xsi:type="dcterms:W3CDTF">2024-04-01T10:21:00Z</dcterms:modified>
</cp:coreProperties>
</file>