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uppressAutoHyphens w:val="true"/>
        <w:spacing w:lineRule="auto" w:line="240" w:before="0" w:after="0"/>
        <w:ind w:hanging="0" w:start="30" w:end="0"/>
        <w:jc w:val="end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Додаток № 1</w:t>
      </w:r>
    </w:p>
    <w:p>
      <w:pPr>
        <w:pStyle w:val="Normal"/>
        <w:shd w:val="clear" w:fill="FFFFFF"/>
        <w:spacing w:lineRule="auto" w:line="240" w:before="0" w:after="0"/>
        <w:ind w:firstLine="450" w:start="5400" w:end="0"/>
        <w:jc w:val="end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  <w:b/>
          <w:bCs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bCs/>
          <w:sz w:val="16"/>
          <w:szCs w:val="16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eastAsia="ar-SA"/>
        </w:rPr>
        <w:tab/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 w:eastAsia="ar-SA"/>
        </w:rPr>
        <w:t>“Мультимедійні засоби для навчання (телевізори, мультимедійні проектори та обладнання) (код ДК 021:2015 — 32320000-2 - Телевізійне й аудіовізуальне обладнання)”: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val="uk-UA" w:eastAsia="ar-SA"/>
        </w:rPr>
        <w:t>1. Технічні, якісні та кількісні характеристики, запропонованого учасниками процедури закупівлі товару, повинні відповідати або бути еквівалентними чи бути кращими за нижченаведені показники:</w:t>
      </w:r>
    </w:p>
    <w:tbl>
      <w:tblPr>
        <w:tblW w:w="10462" w:type="dxa"/>
        <w:jc w:val="start"/>
        <w:tblInd w:w="2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000"/>
      </w:tblPr>
      <w:tblGrid>
        <w:gridCol w:w="960"/>
        <w:gridCol w:w="1984"/>
        <w:gridCol w:w="6239"/>
        <w:gridCol w:w="1278"/>
      </w:tblGrid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Cs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uk-UA" w:eastAsia="uk-U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Cs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uk-UA" w:eastAsia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Характеристики та технічні вимоги до товару</w:t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Телевізор Тип 1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діагональ екрану 55 дюйми;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тип дисплею 10 біт, або краще;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тип матриці IPS;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роздільна здатність не нижче 3840х2160 пікселів;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нижче 1200:1;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яскравість не нижче 320(кд/м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2</w:t>
            </w:r>
            <w:r>
              <w:rPr>
                <w:rFonts w:cs="Times New Roman" w:ascii="Times New Roman" w:hAnsi="Times New Roman"/>
                <w:lang w:val="uk-UA" w:eastAsia="uk-UA"/>
              </w:rPr>
              <w:t>);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кут огляду не менше 178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о</w:t>
            </w:r>
            <w:r>
              <w:rPr>
                <w:rFonts w:cs="Times New Roman" w:ascii="Times New Roman" w:hAnsi="Times New Roman"/>
                <w:lang w:val="uk-UA" w:eastAsia="uk-UA"/>
              </w:rPr>
              <w:t>/178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о</w:t>
            </w:r>
            <w:r>
              <w:rPr>
                <w:rFonts w:cs="Times New Roman" w:ascii="Times New Roman" w:hAnsi="Times New Roman"/>
                <w:lang w:val="uk-UA" w:eastAsia="uk-UA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час відгуку не більше 8мс;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частота оновлення екрана не менше 60Гц;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тюнер з підтримкою DVB-T/T2/C/S/S2;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підтримувані кодеки DVB-T2 H264, Н265;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HDMIх3, USBх2, Composite AV Input, CI+, SPDIF, LAN;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Вбудований WIFI(2,4/5ГГц) та Bluetooth</w:t>
            </w:r>
            <w:r>
              <w:rPr>
                <w:lang w:val="uk-UA"/>
              </w:rPr>
              <w:t>(</w:t>
            </w:r>
            <w:r>
              <w:rPr>
                <w:rFonts w:cs="Times New Roman" w:ascii="Times New Roman" w:hAnsi="Times New Roman"/>
                <w:lang w:val="uk-UA" w:eastAsia="uk-UA"/>
              </w:rPr>
              <w:t>підтримка навушників, динаміків, геймпадів);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потужність звуку не менше 2Х10W;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CPU не гірше ніж ARM cortex  чотирьохядерний з частотою 1500MHz;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графічного ядра з підтримкою OpenGL ES 3.2 та Vulkan;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вбудована пам’ять не менше 16Гб;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оперативна пам’ять не менше 2Гб;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Bluetooth дистанційного керування та  Голосового керування;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програмне забезпечення GOOGLE TV;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попередньо встановлені програми Gogle Play, Netflix, Prime video, YouTube, Media player;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підтримка NTFS USB;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підтримка форматів avi, mp4, mpg, mkv, mov, dat, vob, rm, rmvb, ts, MP3, M4A, AAC, WMA, WMA Pro, AC3, LPCM, JPG, PNG, BMP;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споживана потужність не більше 130 Вт;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потужність в режимі очікування не більше 0,5 Вт;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вага продукту з підставкою не більше 11 кг;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розмір без підставки не більше (ШxВxГ) 1228x717x96 мм;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у комплекті повинні бути Посібник користувача з інформацією про гарантію, Пульт дистанційного керування, Батарейки пульта дистанційного керування, настінне кріплення VESA 200х200;</w:t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8 шт</w:t>
            </w: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Телевізор Тип 2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діагональ екрану 32 дюйми;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тип дисплею 8 біт, або краще;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тип матриці IPS;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роздільна здатність не нижче 1366х768 пікселів;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нижче 1200:1;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яскравість не нижче 250(кд/м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2</w:t>
            </w:r>
            <w:r>
              <w:rPr>
                <w:rFonts w:cs="Times New Roman" w:ascii="Times New Roman" w:hAnsi="Times New Roman"/>
                <w:lang w:val="uk-UA" w:eastAsia="uk-UA"/>
              </w:rPr>
              <w:t>);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кут огляду не менше 178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о</w:t>
            </w:r>
            <w:r>
              <w:rPr>
                <w:rFonts w:cs="Times New Roman" w:ascii="Times New Roman" w:hAnsi="Times New Roman"/>
                <w:lang w:val="uk-UA" w:eastAsia="uk-UA"/>
              </w:rPr>
              <w:t>/178</w:t>
            </w:r>
            <w:r>
              <w:rPr>
                <w:rFonts w:cs="Times New Roman" w:ascii="Times New Roman" w:hAnsi="Times New Roman"/>
                <w:vertAlign w:val="superscript"/>
                <w:lang w:val="uk-UA" w:eastAsia="uk-UA"/>
              </w:rPr>
              <w:t>о</w:t>
            </w:r>
            <w:r>
              <w:rPr>
                <w:rFonts w:cs="Times New Roman" w:ascii="Times New Roman" w:hAnsi="Times New Roman"/>
                <w:lang w:val="uk-UA" w:eastAsia="uk-UA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час відгуку не більше 7мс;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частота оновлення екрана не менше 60Гц;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тюнер з підтримкою DVB-T/T2/C/S/S2;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підтримувані кодеки DVB-T2 H264, Н265;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HDMIх2, USBх2, Composite AV Input, CI+, SPDIF, LAN;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Вбудований WIFI(2,4/5ГГц) та Bluetooth</w:t>
            </w:r>
            <w:r>
              <w:rPr>
                <w:lang w:val="uk-UA"/>
              </w:rPr>
              <w:t>(</w:t>
            </w:r>
            <w:r>
              <w:rPr>
                <w:rFonts w:cs="Times New Roman" w:ascii="Times New Roman" w:hAnsi="Times New Roman"/>
                <w:lang w:val="uk-UA" w:eastAsia="uk-UA"/>
              </w:rPr>
              <w:t>підтримка навушників, динаміків, геймпадів);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потужність звуку не менше 2Х10W;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CPU не гірше ніж ARM cortex  чотирьохядерний з частотою 1450MHz;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графічного ядра з підтримкою OpenGL ES 3.2 та Vulkan;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вбудована пам’ять не менше 8Гб;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оперативна пам’ять не менше 1,5Гб;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наявність Bluetooth дистанційного керування та  Голосового керування;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програмне забезпечення GOOGLE TV;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попередньо встановлені програми Gogle Play, Netflix, Prime video, YouTube, Media player;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підтримка NTFS USB;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підтримка форматів avi, mp4, mpg, mkv, mov, dat, vob, rm, rmvb, ts, MP3, M4A, AAC, WMA, WMA Pro, AC3, LPCM, JPG, PNG, BMP;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споживана потужність не більше 60 Вт;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потужність в режимі очікування не більше 0,5 Вт;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вага продукту з підставкою не більше 3,6 кг;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розмір без підставки не більше (ШxВxГ) 720x428x85 мм;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spacing w:before="0" w:after="0"/>
              <w:ind w:hanging="263" w:start="315" w:end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у комплекті повинні бути Посібник користувача з інформацією про гарантію, Пульт дистанційного керування, Батарейки пульта дистанційного керування, настінне кріплення VESA 200х200;</w:t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2 шт</w:t>
            </w: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Мультимедійний проектор Тип 1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світловий потік не менше 3500 ANSI люменів;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менше 14 000:1;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максимальна роздільна здатність проектора повинна бути не менше WXGA (1280 х 800 пікселів);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аспектне співвідношення 16:10 з підтримкою 4:3 та 16:9;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ресурс роботи лампи не менше 6000 годин в стандартному режимі;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комплект електронних маркерів;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проектор встановлюється на спеціальному підвісі, який кріпиться безпосередньо над верхнім краєм дошки до стіни або до стелі, підвіс повинен бути врахований в складі поставки;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відстань від об’єктива проектора до площини проекції не більше 0,6 метра для діагоналі 88” при аспектне співвідношення 16:10;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підтримуваний розмір зображення (по діагоналі): не гірше 80"-100".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довжина інтерфейсного кабелю - не менша, ніж необхідна для підключення пристрою до портативного комп'ютера вчителя у місці його встановлення;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підключення здійснюється до графічного адаптера портативного комп'ютера вчителя;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проектор не менше 3-х років;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лампу проектора не менше 1-го року або 1000 годин в робочому режимі.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eastAsia="Tahoma" w:cs="Times New Roman" w:ascii="Times New Roman" w:hAnsi="Times New Roman"/>
                <w:lang w:val="uk-UA"/>
              </w:rPr>
              <w:t xml:space="preserve">Акустична </w:t>
            </w:r>
            <w:r>
              <w:rPr>
                <w:rFonts w:cs="Times New Roman" w:ascii="Times New Roman" w:hAnsi="Times New Roman"/>
                <w:lang w:val="uk-UA" w:eastAsia="uk-UA"/>
              </w:rPr>
              <w:t>система</w:t>
            </w:r>
            <w:r>
              <w:rPr>
                <w:rFonts w:eastAsia="Tahoma" w:cs="Times New Roman" w:ascii="Times New Roman" w:hAnsi="Times New Roman"/>
                <w:lang w:val="uk-UA"/>
              </w:rPr>
              <w:t xml:space="preserve"> зовнішня або вбудована в проектор потужністю не </w:t>
            </w:r>
            <w:r>
              <w:rPr>
                <w:rFonts w:cs="Times New Roman" w:ascii="Times New Roman" w:hAnsi="Times New Roman"/>
                <w:lang w:val="uk-UA" w:eastAsia="uk-UA"/>
              </w:rPr>
              <w:t>менше ніж 20Вт;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lang w:val="uk-UA"/>
              </w:rPr>
              <w:t xml:space="preserve">У комплекті </w:t>
            </w:r>
            <w:r>
              <w:rPr>
                <w:rFonts w:eastAsia="Times New Roman" w:cs="Times New Roman" w:ascii="Times New Roman" w:hAnsi="Times New Roman"/>
                <w:b/>
                <w:bCs/>
                <w:lang w:val="uk-UA"/>
              </w:rPr>
              <w:t>дошка аудиторна магніто- маркерна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дошки – настінна;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функціональне призначення для письма маркером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кількість робочих поверхонь не менше 1;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матеріал покриття робочої поверхні емаль, або еквівалент за міцністю матеріалу;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кріплення до стіни – горизонтальне кріплення;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загальний розмір дошки не повинні бути меншими по довжині за 2000 мм, по висоті за 1000 мм;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робоча поверхня для проекції зображення мультимедійного проектора повинна бути білого кольору, розрахована у тому числі для письма на ній маркерами на водяній основі</w:t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 комплект</w:t>
            </w: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Мультимедійний проектор Тип 2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світловий потік не менше 3500 ANSI люменів;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менше 14 000:1;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максимальна роздільна здатність проектора повинна бути не менше WXGA (1280 х 800 пікселів);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аспектне співвідношення 16:10 з підтримкою 4:3 та 16:9;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ресурс роботи лампи не менше 6000 годин в стандартному режимі;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комплект електронних маркерів;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проектор встановлюється на спеціальному підвісі, який кріпиться безпосередньо над верхнім краєм дошки до стіни або до стелі, підвіс повинен бути врахований в складі поставки;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відстань від об’єктива проектора до площини проекції не більше 0,6 метра для діагоналі 88” при аспектне співвідношення 16:10;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підтримуваний розмір зображення (по діагоналі): не гірше 80"- 100".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довжина інтерфейсного кабелю - не менша, ніж необхідна для підключення пристрою до портативного комп'ютера вчителя у місці його встановлення;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підключення здійснюється до графічного адаптера портативного комп'ютера вчителя;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проектор не менше 3-х років;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лампу проектора не менше 1-го року або 1000 годин в робочому режимі.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eastAsia="Tahoma" w:cs="Times New Roman" w:ascii="Times New Roman" w:hAnsi="Times New Roman"/>
                <w:lang w:val="uk-UA"/>
              </w:rPr>
              <w:t xml:space="preserve">Акустична </w:t>
            </w:r>
            <w:r>
              <w:rPr>
                <w:rFonts w:cs="Times New Roman" w:ascii="Times New Roman" w:hAnsi="Times New Roman"/>
                <w:lang w:val="uk-UA" w:eastAsia="uk-UA"/>
              </w:rPr>
              <w:t>система</w:t>
            </w:r>
            <w:r>
              <w:rPr>
                <w:rFonts w:eastAsia="Tahoma" w:cs="Times New Roman" w:ascii="Times New Roman" w:hAnsi="Times New Roman"/>
                <w:lang w:val="uk-UA"/>
              </w:rPr>
              <w:t xml:space="preserve"> зовнішня або вбудована в проектор потужністю не </w:t>
            </w:r>
            <w:r>
              <w:rPr>
                <w:rFonts w:cs="Times New Roman" w:ascii="Times New Roman" w:hAnsi="Times New Roman"/>
                <w:lang w:val="uk-UA" w:eastAsia="uk-UA"/>
              </w:rPr>
              <w:t>менше ніж 20Вт;</w:t>
            </w:r>
          </w:p>
          <w:p>
            <w:pPr>
              <w:pStyle w:val="Normal"/>
              <w:suppressAutoHyphens w:val="false"/>
              <w:jc w:val="both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uk-UA"/>
              </w:rPr>
              <w:t xml:space="preserve">У комплекті </w:t>
            </w:r>
            <w:r>
              <w:rPr>
                <w:rFonts w:eastAsia="Times New Roman" w:cs="Times New Roman" w:ascii="Times New Roman" w:hAnsi="Times New Roman"/>
                <w:b/>
                <w:bCs/>
                <w:lang w:val="uk-UA"/>
              </w:rPr>
              <w:t>дошка аудиторна магнітно-маркерна: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дошки – настінна;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функціональне призначення для письма крейдою, для письма маркером;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кількість робочих поверхонь не менше 5;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матеріал покриття робочої поверхні емаль, або еквівалент за міцністю матеріалу;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кріплення до стіни – горизонтальне кріплення;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загальний розмір дошки не повинні бути меншими по довжині за 4000 мм, по висоті за 1200 мм;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робоча поверхня для проекції зображення мультимедійного проектора з інтерактивними функціями повинна бути матова, білого кольору, розрахована у тому числі для письма на ній маркерами на водяній основі; розмір повинен відповідати розміру інтерактивної проекції проектора, але діагональ не менше 77” (195 см) при співвідношенні сторін 4:3, 16:9, 16:10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додаткові робочі поверхні повинні бути матові, зеленого кольору, розраховані для письма на них крейдою, розташовані по бокам від робочої поверхні для проекції зображення мультимедійного проектора з інтерактивними функціями.</w:t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4 комплект</w:t>
            </w: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Мультимедійне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lang w:val="uk-UA"/>
              </w:rPr>
              <w:t xml:space="preserve">обладнання Тип 3 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Проектор з інтерактивним модулем: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світловий потік не менше 3600 ANSI люменів;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менше 20 000:1;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підтримувана роздільна здатність не менше WXGA (1280 х 800 пікселів);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аспектне співвідношення 16:10 з підтримкою 4:3 та 16:9;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ресурс роботи лампи не менше 6000 годин в стандартному режимі;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проектор встановлюється на спеціальному підвісі, який кріпиться безпосередньо над верхнім краєм дошки до стіни або до стелі, підвіс повинен бути врахований в складі поставки;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відстань від об’єктива проектора до площини проекції не більше 1 метра для діагоналі 88” при аспектне співвідношення 16:10;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довжина інтерфейсного кабелю - не менша, ніж необхідна для підключення пристрою до портативного комп'ютера вчителя у місці його встановлення;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підключення здійснюється до графічного адаптера портативного комп'ютера вчителя;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проектор не менше 3-х років;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лампу проектора не менше 1-го року або 1000 годин в робочому режимі.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eastAsia="Tahoma" w:cs="Times New Roman" w:ascii="Times New Roman" w:hAnsi="Times New Roman"/>
                <w:lang w:val="uk-UA"/>
              </w:rPr>
              <w:t xml:space="preserve">Акустична </w:t>
            </w:r>
            <w:r>
              <w:rPr>
                <w:rFonts w:cs="Times New Roman" w:ascii="Times New Roman" w:hAnsi="Times New Roman"/>
                <w:lang w:val="uk-UA" w:eastAsia="uk-UA"/>
              </w:rPr>
              <w:t>система</w:t>
            </w:r>
            <w:r>
              <w:rPr>
                <w:rFonts w:eastAsia="Tahoma" w:cs="Times New Roman" w:ascii="Times New Roman" w:hAnsi="Times New Roman"/>
                <w:lang w:val="uk-UA"/>
              </w:rPr>
              <w:t xml:space="preserve"> зовнішня або вбудована в проектор потужністю не </w:t>
            </w:r>
            <w:r>
              <w:rPr>
                <w:rFonts w:cs="Times New Roman" w:ascii="Times New Roman" w:hAnsi="Times New Roman"/>
                <w:lang w:val="uk-UA" w:eastAsia="uk-UA"/>
              </w:rPr>
              <w:t>менше ніж 16Вт;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 xml:space="preserve">Інтерактивний модуль </w:t>
            </w:r>
            <w:r>
              <w:rPr>
                <w:rFonts w:eastAsia="Tahoma" w:cs="Times New Roman" w:ascii="Times New Roman" w:hAnsi="Times New Roman"/>
                <w:lang w:val="uk-UA"/>
              </w:rPr>
              <w:t xml:space="preserve">зовнішній або вбудований в проектор з площею покриття 40 -120” (помірне освітлення)/ 40-100” (світла кімната), із співвідношенням сторін </w:t>
            </w:r>
            <w:r>
              <w:rPr>
                <w:rFonts w:cs="Times New Roman" w:ascii="Times New Roman" w:hAnsi="Times New Roman"/>
                <w:lang w:val="uk-UA" w:eastAsia="uk-UA"/>
              </w:rPr>
              <w:t xml:space="preserve">4:3 або 16:9, 16:10, з функцією мультитач. 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eastAsia="Times New Roman" w:cs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У комплекті </w:t>
            </w: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дошка аудиторна магніто-маркерна: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дошки – настінна;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функціональне призначення для письма маркером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кількість робочих поверхонь не менше 1;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матеріал покриття робочої поверхні емаль, або еквівалент за міцністю матеріалу;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тип кріплення до стіни – горизонтальне кріплення;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загальний розмір дошки не повинні бути меншими по довжині за 2000 мм, по висоті за 1000 мм;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робоча поверхня для проекції зображення мультимедійного проектора повинна бути білого кольору, розрахована у тому числі для письма на ній маркерами на водяній основі.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Набір лабораторний для кабінету хімії у складі:</w:t>
            </w:r>
          </w:p>
          <w:tbl>
            <w:tblPr>
              <w:tblW w:w="5950" w:type="dxa"/>
              <w:jc w:val="start"/>
              <w:tblInd w:w="0" w:type="dxa"/>
              <w:tblLayout w:type="fixed"/>
              <w:tblCellMar>
                <w:top w:w="0" w:type="dxa"/>
                <w:start w:w="108" w:type="dxa"/>
                <w:bottom w:w="0" w:type="dxa"/>
                <w:end w:w="108" w:type="dxa"/>
              </w:tblCellMar>
              <w:tblLook w:val="04a0"/>
            </w:tblPr>
            <w:tblGrid>
              <w:gridCol w:w="5553"/>
              <w:gridCol w:w="396"/>
            </w:tblGrid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Комплект моделей атомів для складання молекул (демонстраційна)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Набір для моделювання молекул органічних і неорганічних речовин — для лабораторних занять зі шкільного курсу хімії.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Даний комплект містить все необхідне для самостійного складання різних молекул: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-атомів Карбону;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-атомів Оксигену;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-атомів Гідрогену;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-атомів Сірки;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-атомів Фосфору;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Моделі атомів мають кольорове кодування.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"Кристалічної решітки СІЛЬ"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солі.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"Кристалічна гратка ЙОДУ" (демонстраційна)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йоду.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"Кристалічні решітки ЛЬОДУ" (демонстраційна)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льоду.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 Кристалічні решітки ЗАЛІЗА"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заліза.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"Кристалічної решітки ГРАФІТ"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графіту.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5553" w:type="dxa"/>
                  <w:tcBorders/>
                  <w:shd w:color="000000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Модель "Кристалічної решітки АЛМАЗ"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Навчальна модель створена для демонстрації атомної структури кристалічної решітки алмазу.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Демонстраційний посібник - модель, що складається з кульок, що позначають атоми, і сполучних трубок, що позначають зв'язки. Для з'єднання деталей кульки забезпечені штирями і тонкими трубками, діаметр яких відповідає діаметру сполучних трубок.</w:t>
                  </w:r>
                </w:p>
              </w:tc>
              <w:tc>
                <w:tcPr>
                  <w:tcW w:w="396" w:type="dxa"/>
                  <w:tcBorders/>
                  <w:shd w:color="000000" w:fill="FFFFFF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з електролізу демонстраційний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Набір призначений для дослідження та демонстрації електричного струму в розчинах електролітів.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Габарити в упаковці: довжина - 20 см; ширина - 11 см; висота - 16 см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Склад: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пластмасові посудини - 2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кришка з двома універсальними зажимами і індикатором - 1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кришка посудини - 1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електроди з графіту - 2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електроди свинцеві - 2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електрод цинковий (оцинковане залізо) - 1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електрод мідний - 1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контактор - 1 шт.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Прилад для ілюстрації закону збереження маси речовини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Даний демонстраційний прилад призначений для комплектування навчального кабінету хімії в загальноосвітній школі і використання в ході вивчення курсу.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Особливості навчального обладнання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Даний прилад створений для наочної демонстрації закону збереження маси речовин.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Він має дві складові – колби з комплектуючими: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для проведення реакцій, при яких виділяється газ;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для реакцій, при яких газ не виділяється.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Комплектація набору: колба плоскодонна (об’єм кожної - 50 мл) - 2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лабораторна хімічна піпетка на пробці із якісної гуми - 2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лійка - 1 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надувна гумова кулька - 1шт.,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швейна нитка (довжиною 40 см) - 1шт.,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Прилад для окиснення спирту над мідним каталізатором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Прилад використовується на шкільних уроках хімії для демонстрації реакцій окиснення спиртів киснем повітря, за допомогою мідного каталізатора.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набір входять: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посудина-реактор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форсунка з трубкою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гумова пробка з мідною спіраллю і повітряною трубкою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нагнітач повітря з трубкою.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№1 С "Кислоти"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До комплекту входять 2 реактиви: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кислота азотна: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кислота ортофосфорна: 0,1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 3 ВС "Луги"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наборі: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Калій гідроксид: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Кальцій гідроксид: 0,2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№6 ВС "Органічні речовини"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наборі сім реактивів: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Анілін: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Анілін солянокислий: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Амінооцтова кислота (гліцин):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Вуглець чотирихлористий: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Сахароза: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Ізоаміловий спирт: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Орто-Ксилол: 0,1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№13 ВС "Галогени"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Алюміній хлористий 6-вод.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Амоній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Барій хлористий 2-вод.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Марганець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Калій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Кальцій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Магній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Мідь 1-хлор.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Натрій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Цинк хлористий 0,1 кг.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Хром хлорид 0,1 кг.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№14 ВС "Сульфати»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У складі комплекту: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Алюміній азотнокислий 9-водн.: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Алюміній сірчанокислий, 100г: 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Амонiй сiрчанокислий: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Залізо сірчанокисле (ІІ):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Калій сірчанокислий: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Кальцiй сiрчанокислий 2-вод.: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Магній сірчанокислий: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Мідь сірчанокисла 5-вод.: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Натрiй сiрчанокислий: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Цинк сiрчанокислий 7-вод.: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Натрій фосфат 0,1 кг.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№22 ВС "Індикатори"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До комплекту входять: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Фенолфталеїн: 0,05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Метиловий оранжевий: 0,05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№17 С "Нітрати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lang w:val="uk-UA" w:eastAsia="ru-RU"/>
                    </w:rPr>
                    <w:t>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комплекті наступні реактиви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Алюміній азотнокислий 9-водн.: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Амонiй азотнокислий (нітрат):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Барій азотнокислий (нітрат):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Селітра калієва (калій азотнокислий, калій нітрат):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Натрій азотнокислий тех.:  0,1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№16 ВС "Метали, оксиди"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складі наступні реактиви: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Алюміній оксид: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Залізо мет. Порошок: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Залізо сірчанокисле (ІІ): 0,1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Мідь (ІІ) оксид: 0,1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553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Cs/>
                      <w:i/>
                      <w:i/>
                      <w:color w:val="000000"/>
                      <w:u w:val="single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i/>
                      <w:color w:val="000000"/>
                      <w:u w:val="single"/>
                      <w:lang w:val="uk-UA" w:eastAsia="ru-RU"/>
                    </w:rPr>
                    <w:t>Набір №21 ВС "Неорганічні речовини"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В комплекті: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Кальцій оксид чда: 0,02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Натрій вуглекислий: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Натрiй вуглекислий кислий (сода питна):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Мідь вуглекисла основна: 0,2 кг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Мідь сірчанокисла: 0,2 кг</w:t>
                  </w:r>
                </w:p>
              </w:tc>
              <w:tc>
                <w:tcPr>
                  <w:tcW w:w="396" w:type="dxa"/>
                  <w:tcBorders/>
                  <w:shd w:color="auto" w:fill="auto" w:val="clear"/>
                </w:tcPr>
                <w:p>
                  <w:pPr>
                    <w:pStyle w:val="Normal"/>
                    <w:jc w:val="end"/>
                    <w:rPr>
                      <w:rFonts w:ascii="Times New Roman" w:hAnsi="Times New Roman" w:eastAsia="Times New Roman" w:cs="Times New Roman"/>
                      <w:color w:val="000000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val="uk-UA" w:eastAsia="ru-RU"/>
                    </w:rPr>
                    <w:t>1</w:t>
                  </w:r>
                </w:p>
              </w:tc>
            </w:tr>
          </w:tbl>
          <w:p>
            <w:pPr>
              <w:pStyle w:val="ListParagraph"/>
              <w:suppressAutoHyphens w:val="false"/>
              <w:spacing w:before="0" w:after="0"/>
              <w:ind w:hanging="0" w:start="315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 комплект</w:t>
            </w: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1.6.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Мультимедійний проектор Тип 4 </w:t>
            </w:r>
          </w:p>
        </w:tc>
        <w:tc>
          <w:tcPr>
            <w:tcW w:w="62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Світловий потік не менше 3700 ansi люменів;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Контрастність не менше 20 000:1;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Підтримувана роздільна здатність не менше wxga (1280 х 800 пікселів);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Аспектне співвідношення 16:10 з підтримкою 4:3 та 16:9;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Ресурс роботи лампи не менше 5000 годин в стандартному режимі;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Проектор повинен комплектуватись оригінальним підвісом того самого виробника, що й проектор;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Проектор встановлюється на спеціальному підвісі, який кріпиться безпосередньо над верхнім краєм дошки до стіни або до стелі, підвіс повинен бути врахований в складі поставки;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Відстань від об’єктива проектора до площини проекції не більше 1 метра для діагоналі 88” при -</w:t>
              <w:tab/>
              <w:t>аспектне співвідношення 16:10;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Підтримуваний розмір зображення (по діагоналі): 50"-100".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Довжина інтерфейсного кабелю - не менша, ніж необхідна для підключення пристрою до портативного комп'ютера вчителя у місці його встановлення;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Підключення здійснюється до графічного адаптера портативного комп'ютера вчителя;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/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проектор не менше 3-х років;</w:t>
            </w:r>
          </w:p>
          <w:p>
            <w:pPr>
              <w:pStyle w:val="ListParagraph"/>
              <w:numPr>
                <w:ilvl w:val="0"/>
                <w:numId w:val="8"/>
              </w:numPr>
              <w:suppressAutoHyphens w:val="false"/>
              <w:spacing w:before="0" w:after="0"/>
              <w:ind w:hanging="360" w:start="412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  <w:t>Гарантія на лампу проектора не менше 1-го року або 1000 годин в робочому режимі.</w:t>
            </w:r>
          </w:p>
          <w:p>
            <w:pPr>
              <w:pStyle w:val="ListParagraph"/>
              <w:suppressAutoHyphens w:val="false"/>
              <w:spacing w:before="0" w:after="0"/>
              <w:ind w:hanging="0" w:start="315" w:end="0"/>
              <w:contextualSpacing w:val="false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 шт</w:t>
            </w:r>
          </w:p>
        </w:tc>
      </w:tr>
      <w:tr>
        <w:trPr>
          <w:trHeight w:val="284" w:hRule="atLeast"/>
        </w:trPr>
        <w:tc>
          <w:tcPr>
            <w:tcW w:w="1046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b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Додаткові вимоги:</w:t>
            </w:r>
          </w:p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1. Обладнання поставляється та вводиться в експлуатацію учасником у загальноосвітніх навчальних закладах, а вартість тендерної пропозиції учасника повинна враховувати витрати на доставку, введення в експлуатацію (монтаж) та необхідні матеріали для монтажу (для проекторів короб не менше 10 метрів, кабель не менше 10 метрів, розетку, вилку з розрахунку на один комплект, активний подовжувач USB не менше 10 метрів).</w:t>
            </w:r>
          </w:p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2. Характеристики Обладнання повинні бути не нижче визначених у таблиці Додатку та вказуватись в пропозиціях учасників з чітким визначенням марки та моделі кожної складової.</w:t>
            </w:r>
          </w:p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3. У разі подачі еквіваленту Обладнання, яке запропоновано Замовником в технічних, якісних та кількісних вимогах, учасник подає порівняльну таблицю запропонованого ним Обладнання та Обладнання, зазначеного Замовником, з відомостями щодо відповідності вимогам Замовника. Обов’язково зазначається виробник, модель та артикул для можливості перевірки запропонованого обладнання технічним вимогам Замовника. У разі відсутності зазначених вимог, Замовник залишає за собою право відхилити пропозицію.</w:t>
            </w:r>
          </w:p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4. Все програмне забезпечення повинно бути попередньо інстальованим.</w:t>
            </w:r>
          </w:p>
          <w:p>
            <w:pPr>
              <w:pStyle w:val="BodyText"/>
              <w:spacing w:lineRule="auto" w:line="240" w:before="0" w:after="0"/>
              <w:ind w:firstLine="426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5.Відповідність запропонованого до поставки Обладнання технічним вимогам Замовника, учасник підтверджує шляхом надання сканованих копій наступних документів:</w:t>
            </w:r>
          </w:p>
          <w:p>
            <w:pPr>
              <w:pStyle w:val="BodyText"/>
              <w:numPr>
                <w:ilvl w:val="0"/>
                <w:numId w:val="2"/>
              </w:numPr>
              <w:tabs>
                <w:tab w:val="clear" w:pos="709"/>
              </w:tabs>
              <w:spacing w:lineRule="auto" w:line="240" w:before="0" w:after="0"/>
              <w:ind w:firstLine="426" w:start="0"/>
              <w:jc w:val="both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копії санітарно-епідеміологічної експертизи або чинних декларацій або сертифікатів відповідності для обладнання по пунктах 1.1.-1.6. таблиці вище.</w:t>
            </w:r>
          </w:p>
          <w:p>
            <w:pPr>
              <w:pStyle w:val="BodyText"/>
              <w:numPr>
                <w:ilvl w:val="0"/>
                <w:numId w:val="2"/>
              </w:numPr>
              <w:tabs>
                <w:tab w:val="clear" w:pos="709"/>
              </w:tabs>
              <w:spacing w:lineRule="auto" w:line="240" w:before="0" w:after="0"/>
              <w:ind w:firstLine="426" w:start="0"/>
              <w:jc w:val="both"/>
              <w:rPr>
                <w:rFonts w:ascii="Times New Roman" w:hAnsi="Times New Roman" w:cs="Times New Roman"/>
                <w:b/>
                <w:iCs/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копію листа від виробників або їх офіційних представництв, або офіційних дистриб'юторів в Україні запропонованого учасником обладнання по пунктах 1.1.-1.6. для даної закупівлі із зазначенням найменування замовника, номеру оголошення в електронній системі закупівель, назви та юридичної адреси учасника, який підтверджує статус учасника як партнера виробника або офіційного дистриб’ютора, чинного на дату подання тендерних пропозицій. У разі надання листа від офіційного дистриб’ютора учасник в складі пропозиції повинен надати підтвердження у вигляді копії договору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та/або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копії листа від виробника обладнання про авторизацію офіційного дистриб’ютора на території України.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iCs/>
          <w:color w:val="000000"/>
          <w:lang w:val="uk-UA"/>
        </w:rPr>
      </w:pPr>
      <w:r>
        <w:rPr>
          <w:rFonts w:eastAsia="Times New Roman" w:cs="Times New Roman" w:ascii="Times New Roman" w:hAnsi="Times New Roman"/>
          <w:b/>
          <w:iCs/>
          <w:color w:val="000000"/>
          <w:lang w:val="uk-UA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lang w:val="uk-UA" w:eastAsia="ar-SA"/>
        </w:rPr>
        <w:t>2. Загальні вимоги: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val="uk-UA"/>
        </w:rPr>
        <w:t>2.1. Товар повинен бути новим (таким, що не був у використанні), не перебуває в заставі або під арештом, вільний від претензій третіх осіб.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val="uk-UA"/>
        </w:rPr>
        <w:t>2.2. Всі основні  компоненти товару повинні бути оригінальними, заміна компонентів на не неоригінальні забороняється.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val="uk-UA"/>
        </w:rPr>
        <w:t xml:space="preserve">2.3. Транспортні послуги та інші витрати (пакування, тощо) повинні здійснюватися за рахунок Продавця / переможця процедури закупівлі. Доставку, монтаж, встановлення, введення в експлуатацію та підключення обладнання для навчальних закладів здійснює Продавець </w:t>
      </w:r>
      <w:r>
        <w:rPr>
          <w:rFonts w:eastAsia="Times New Roman" w:cs="Times New Roman" w:ascii="Times New Roman" w:hAnsi="Times New Roman"/>
          <w:lang w:val="uk-UA" w:eastAsia="ar-SA"/>
        </w:rPr>
        <w:t>(переможець процедури закупівлі)</w:t>
      </w:r>
      <w:r>
        <w:rPr>
          <w:rFonts w:cs="Times New Roman" w:ascii="Times New Roman" w:hAnsi="Times New Roman"/>
          <w:lang w:val="uk-UA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val="uk-UA"/>
        </w:rPr>
        <w:t xml:space="preserve">2.4. Товар постачається з україномовними інструкціями, коробка (упаковка) та документація у належному вигляді та без пошкоджень, обладнання попередньо перевірене та у справному стані. Все програмне забезпечення повинно бути попередньо інстальованим.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lang w:val="uk-UA" w:eastAsia="ar-SA"/>
        </w:rPr>
        <w:t xml:space="preserve">2.5. Продавець (переможець процедури закупівлі) повинен забезпечити поставку (передачу) товару, якість якого відповідає умовам, встановленим чинним законодавством до товару даного виду та документацією. </w:t>
      </w:r>
    </w:p>
    <w:p>
      <w:pPr>
        <w:pStyle w:val="ListParagraph11"/>
        <w:suppressAutoHyphens w:val="true"/>
        <w:spacing w:lineRule="auto" w:line="360" w:before="0" w:after="0"/>
        <w:ind w:hanging="0" w:start="0" w:end="0"/>
        <w:contextualSpacing w:val="false"/>
        <w:jc w:val="both"/>
        <w:rPr/>
      </w:pPr>
      <w:r>
        <w:rPr>
          <w:rFonts w:eastAsia="Times New Roman"/>
          <w:sz w:val="24"/>
          <w:szCs w:val="24"/>
          <w:lang w:val="uk-UA" w:eastAsia="ar-SA"/>
        </w:rPr>
        <w:t>2.6. Товар має бути якісним та поставлятися в упаковці, на якій зазначаються: назва товару, найменування фірми-виробника та країни виробництва.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lang w:val="uk-UA" w:eastAsia="ar-SA"/>
        </w:rPr>
        <w:t>2.7. У випадку виникнення претензій у Замовника за якістю товару (дефектів товару, будь-чого іншого), що може якимось чином вплинути на якісні характеристики товару, Продавець (переможець процедури закупівлі) повинен замінити товар на товар належної якості.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lang w:val="uk-UA" w:eastAsia="ar-SA"/>
        </w:rPr>
        <w:t>2.8 Умови постачання товару — безкоштовна доставка обладнання за заявкою Замовника з перевіркою комплектності, цілісності та відсутності пошкоджень в присутності представників замовника.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lang w:val="uk-UA" w:eastAsia="ar-SA"/>
        </w:rPr>
        <w:t xml:space="preserve">2.9. </w:t>
      </w:r>
      <w:r>
        <w:rPr>
          <w:rFonts w:cs="Times New Roman" w:ascii="Times New Roman" w:hAnsi="Times New Roman"/>
          <w:lang w:val="uk-UA"/>
        </w:rPr>
        <w:t>Термін гарантії на товар: не менше 12 місяців офіційної гарантії від виробника.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lang w:val="uk-UA" w:eastAsia="ru-RU"/>
        </w:rPr>
        <w:t>3.</w:t>
      </w:r>
      <w:r>
        <w:rPr>
          <w:rFonts w:eastAsia="Times New Roman" w:cs="Times New Roman" w:ascii="Times New Roman" w:hAnsi="Times New Roman"/>
          <w:bCs/>
          <w:lang w:val="uk-UA" w:eastAsia="ru-RU"/>
        </w:rPr>
        <w:t xml:space="preserve"> Усі посилання у цьому Додатку 1 до тендерної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"</w:t>
      </w:r>
      <w:r>
        <w:rPr>
          <w:rFonts w:eastAsia="Times New Roman" w:cs="Times New Roman" w:ascii="Times New Roman" w:hAnsi="Times New Roman"/>
          <w:b/>
          <w:bCs/>
          <w:lang w:val="uk-UA" w:eastAsia="ru-RU"/>
        </w:rPr>
        <w:t>або  еквівалент</w:t>
      </w:r>
      <w:r>
        <w:rPr>
          <w:rFonts w:eastAsia="Times New Roman" w:cs="Times New Roman" w:ascii="Times New Roman" w:hAnsi="Times New Roman"/>
          <w:bCs/>
          <w:lang w:val="uk-UA" w:eastAsia="ru-RU"/>
        </w:rPr>
        <w:t>".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lang w:val="uk-UA" w:eastAsia="uk-UA"/>
        </w:rPr>
        <w:t xml:space="preserve">4. Місце поставки товару: </w:t>
      </w:r>
      <w:r>
        <w:rPr>
          <w:rFonts w:eastAsia="Times New Roman" w:cs="Times New Roman" w:ascii="Times New Roman" w:hAnsi="Times New Roman"/>
          <w:lang w:val="uk-UA" w:eastAsia="uk-UA" w:bidi="ar-SA"/>
        </w:rPr>
        <w:t>68100, Одеська область, Білгород-Дністровський район, навчальні заклади Татарбунарської міської ради</w:t>
      </w:r>
    </w:p>
    <w:tbl>
      <w:tblPr>
        <w:tblW w:w="10425" w:type="dxa"/>
        <w:jc w:val="start"/>
        <w:tblInd w:w="103" w:type="dxa"/>
        <w:tblLayout w:type="fixed"/>
        <w:tblCellMar>
          <w:top w:w="0" w:type="dxa"/>
          <w:start w:w="103" w:type="dxa"/>
          <w:bottom w:w="0" w:type="dxa"/>
          <w:end w:w="108" w:type="dxa"/>
        </w:tblCellMar>
        <w:tblLook w:val="0000"/>
      </w:tblPr>
      <w:tblGrid>
        <w:gridCol w:w="795"/>
        <w:gridCol w:w="4696"/>
        <w:gridCol w:w="4934"/>
      </w:tblGrid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>№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Найменування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>навчальних закладів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Місцезнаходження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uk-UA"/>
              </w:rPr>
              <w:t>навчальних закладів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180" w:leader="none"/>
              </w:tabs>
              <w:spacing w:lineRule="auto" w: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Білоліський ліцей Татарбунарської міської ради 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681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3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0, Одеська область,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Білгород-Дністровський район,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село Білолісся , провулок Шкільний, 1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180" w:leader="none"/>
              </w:tabs>
              <w:spacing w:lineRule="auto" w: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Борисівський ліцей Татарбунарської міської ради 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68112, Одеська область,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Білгород-Дністровський район,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село Борисівка, вулиця Миру, 5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180" w:leader="none"/>
              </w:tabs>
              <w:spacing w:lineRule="auto" w: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Нерушайський ліцей Татарбунарської міської ради 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68122, Одеська область,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Білгород-Дністровський район,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село Нерушай, вулиця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Цетральна, 36А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180" w:leader="none"/>
              </w:tabs>
              <w:spacing w:lineRule="auto" w: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Струмківський ліцей Татарбунарської міської ради 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68120, Одеська область,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Білгород-Дністровський район,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село Струмок, вулиця Перемоги, 97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180" w:leader="none"/>
              </w:tabs>
              <w:spacing w:lineRule="auto" w:line="3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6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  <w:t>Татарбунарський</w:t>
            </w:r>
            <w:r>
              <w:rPr>
                <w:rFonts w:cs="Times New Roman" w:ascii="Times New Roman" w:hAnsi="Times New Roman"/>
                <w:color w:val="FF0000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>ліцей</w:t>
            </w:r>
            <w:r>
              <w:rPr>
                <w:rFonts w:cs="Times New Roman" w:ascii="Times New Roman" w:hAnsi="Times New Roman"/>
                <w:color w:val="FF0000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імені  В. З. Тура Татарбунарської міської ради </w:t>
            </w:r>
          </w:p>
        </w:tc>
        <w:tc>
          <w:tcPr>
            <w:tcW w:w="4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68100, Одеська область, </w:t>
            </w:r>
            <w:r>
              <w:rPr>
                <w:rFonts w:cs="Times New Roman" w:ascii="Times New Roman" w:hAnsi="Times New Roman"/>
                <w:color w:val="000000"/>
                <w:lang w:val="uk-UA"/>
              </w:rPr>
              <w:t xml:space="preserve">Білгород-Дністровський район,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місто Татарбунари, вул. </w:t>
            </w:r>
            <w:r>
              <w:rPr>
                <w:rFonts w:cs="Times New Roman" w:ascii="Times New Roman" w:hAnsi="Times New Roman"/>
                <w:color w:val="000000"/>
              </w:rPr>
              <w:t>Барінова, 10</w:t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b/>
          <w:lang w:val="uk-UA" w:eastAsia="uk-UA"/>
        </w:rPr>
      </w:pPr>
      <w:r>
        <w:rPr>
          <w:rFonts w:eastAsia="Times New Roman" w:cs="Times New Roman" w:ascii="Times New Roman" w:hAnsi="Times New Roman"/>
          <w:b/>
          <w:lang w:val="uk-UA" w:eastAsia="uk-UA"/>
        </w:rPr>
      </w:r>
    </w:p>
    <w:p>
      <w:pPr>
        <w:pStyle w:val="Normal"/>
        <w:spacing w:lineRule="auto" w:line="360"/>
        <w:ind w:end="397"/>
        <w:jc w:val="both"/>
        <w:rPr/>
      </w:pPr>
      <w:r>
        <w:rPr>
          <w:rFonts w:eastAsia="Times New Roman" w:cs="Times New Roman" w:ascii="Times New Roman" w:hAnsi="Times New Roman"/>
          <w:b/>
          <w:lang w:val="uk-UA" w:eastAsia="uk-UA"/>
        </w:rPr>
        <w:t>5. Строк поставки товару:</w:t>
      </w:r>
      <w:r>
        <w:rPr>
          <w:rFonts w:eastAsia="Times New Roman" w:cs="Times New Roman" w:ascii="Times New Roman" w:hAnsi="Times New Roman"/>
          <w:lang w:val="uk-UA" w:eastAsia="uk-UA"/>
        </w:rPr>
        <w:t xml:space="preserve"> до 31.12.2023 р.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lang w:val="uk-UA" w:eastAsia="ru-RU"/>
        </w:rPr>
        <w:t>6. Послуги, які обов’язково надає учасник та включає в ціну товару: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lang w:val="uk-UA" w:eastAsia="ar-SA"/>
        </w:rPr>
        <w:t>Проведення навантажувально-розвантажувальних робіт, поставка (транспортування) товару</w:t>
      </w:r>
      <w:r>
        <w:rPr>
          <w:rFonts w:eastAsia="Times New Roman" w:cs="Times New Roman" w:ascii="Times New Roman" w:hAnsi="Times New Roman"/>
          <w:lang w:val="uk-UA" w:eastAsia="ru-RU"/>
        </w:rPr>
        <w:t xml:space="preserve"> до навчальних закладів Замовника, введення в експлуатацію та підключення обладнання (монтаж та необхідні матеріали для монтажу (</w:t>
      </w:r>
      <w:r>
        <w:rPr>
          <w:rFonts w:eastAsia="Times New Roman" w:cs="Times New Roman" w:ascii="Times New Roman" w:hAnsi="Times New Roman"/>
          <w:lang w:val="uk-UA"/>
        </w:rPr>
        <w:t xml:space="preserve">для проекторів </w:t>
      </w:r>
      <w:r>
        <w:rPr>
          <w:rFonts w:eastAsia="Times New Roman" w:cs="Times New Roman" w:ascii="Times New Roman" w:hAnsi="Times New Roman"/>
          <w:lang w:val="uk-UA" w:eastAsia="ru-RU"/>
        </w:rPr>
        <w:t xml:space="preserve">короб не менше 10 метрів, кабель не менше 10 метрів, розетку, вилку з розрахунку на один комплект, активний подовжувач USB не менше 10 метрів)), </w:t>
      </w:r>
      <w:r>
        <w:rPr>
          <w:rFonts w:eastAsia="Times New Roman" w:cs="Times New Roman" w:ascii="Times New Roman" w:hAnsi="Times New Roman"/>
          <w:lang w:val="uk-UA" w:eastAsia="ar-SA"/>
        </w:rPr>
        <w:t>здійснюється силами та за рахунок Продавця -переможця процедури закупівлі та ціна пропозиції учасника процедури закупівлі має включати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lang w:val="uk-UA" w:eastAsia="ar-SA"/>
        </w:rPr>
        <w:t>7.</w:t>
      </w:r>
      <w:r>
        <w:rPr>
          <w:rFonts w:eastAsia="Times New Roman" w:cs="Times New Roman" w:ascii="Times New Roman" w:hAnsi="Times New Roman"/>
          <w:b/>
          <w:lang w:val="uk-UA" w:eastAsia="uk-UA"/>
        </w:rPr>
        <w:t>Перелік документів, які обов’язково повинен подати учасник процедури закупівлі,як частину своєї тендерної пропозиціїдля підтвердження прийнятності та відповідності запропонованого товару</w:t>
      </w:r>
      <w:r>
        <w:rPr>
          <w:rFonts w:eastAsia="Times New Roman" w:cs="Times New Roman" w:ascii="Times New Roman" w:hAnsi="Times New Roman"/>
          <w:b/>
          <w:bCs/>
          <w:lang w:val="uk-UA" w:eastAsia="uk-UA"/>
        </w:rPr>
        <w:t>: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lang w:val="uk-UA" w:eastAsia="uk-UA"/>
        </w:rPr>
        <w:t xml:space="preserve">7.1. Гарантійний лист </w:t>
      </w:r>
      <w:r>
        <w:rPr>
          <w:rFonts w:eastAsia="Times New Roman" w:cs="Times New Roman" w:ascii="Times New Roman" w:hAnsi="Times New Roman"/>
          <w:color w:val="00000A"/>
          <w:lang w:val="uk-UA" w:eastAsia="uk-UA"/>
        </w:rPr>
        <w:t xml:space="preserve">(в довільній формі) від учасника процедури закупівлі, у якому має бути зазначено, що товар </w:t>
      </w:r>
      <w:r>
        <w:rPr>
          <w:rFonts w:eastAsia="Times New Roman" w:cs="Times New Roman" w:ascii="Times New Roman" w:hAnsi="Times New Roman"/>
          <w:color w:val="000000"/>
          <w:lang w:val="uk-UA" w:eastAsia="uk-UA"/>
        </w:rPr>
        <w:t xml:space="preserve">який запропоновано до поставки буде новим (рік виробництва не раніше 2021 / 2022 р.), без механічних пошкоджень, таким, що не був у використанні, буде поставлений у встановлені тендерною документацією строки, та на товар буде надано офіційну </w:t>
      </w:r>
      <w:r>
        <w:rPr>
          <w:rFonts w:eastAsia="Times New Roman" w:cs="Times New Roman" w:ascii="Times New Roman" w:hAnsi="Times New Roman"/>
          <w:color w:val="00000A"/>
          <w:lang w:val="uk-UA" w:eastAsia="uk-UA"/>
        </w:rPr>
        <w:t>гарантію від виробника, строк якої складатиме не менший ніж 12 місяців з дня передачі товару (з дня підписання акту введення в експлуатацію та/або підписання акту прийому-передачі, видаткової накладної); товар матиме гарантійні талони, заповнені належним чином продавцем / постачальником та завірені його печаткою за необхідності.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lang w:val="uk-UA" w:eastAsia="ru-RU" w:bidi="ar-SA"/>
        </w:rPr>
        <w:t>7.2. П</w:t>
      </w:r>
      <w:r>
        <w:rPr>
          <w:rFonts w:eastAsia="Times New Roman" w:cs="Times New Roman" w:ascii="Times New Roman" w:hAnsi="Times New Roman"/>
          <w:b/>
          <w:bCs/>
          <w:lang w:val="uk-UA" w:eastAsia="ru-RU" w:bidi="ar-SA"/>
        </w:rPr>
        <w:t>орівняльну таблицю параметрів запропонованого товару</w:t>
      </w:r>
      <w:r>
        <w:rPr>
          <w:rFonts w:eastAsia="Times New Roman" w:cs="Times New Roman" w:ascii="Times New Roman" w:hAnsi="Times New Roman"/>
          <w:bCs/>
          <w:lang w:val="uk-UA" w:eastAsia="ru-RU" w:bidi="ar-SA"/>
        </w:rPr>
        <w:t xml:space="preserve"> з відомостями щодо їх відповідності (або не відповідності) необхідним технічним, якісним та кількісним характеристикам предмета закупівлі, у тому числі відповідній технічній специфікації Додатку №1</w:t>
      </w:r>
      <w:r>
        <w:rPr>
          <w:rFonts w:eastAsia="Times New Roman" w:cs="Times New Roman" w:ascii="Times New Roman" w:hAnsi="Times New Roman"/>
          <w:lang w:val="uk-UA" w:eastAsia="ru-RU" w:bidi="ar-SA"/>
        </w:rPr>
        <w:t xml:space="preserve"> до тендерної документації. У наданій таблиці, учасник </w:t>
      </w:r>
      <w:r>
        <w:rPr>
          <w:rFonts w:eastAsia="Times New Roman" w:cs="Times New Roman" w:ascii="Times New Roman" w:hAnsi="Times New Roman"/>
          <w:color w:val="00000A"/>
          <w:lang w:val="uk-UA" w:eastAsia="uk-UA" w:bidi="ar-SA"/>
        </w:rPr>
        <w:t>процедури закупівлі, обов'язково</w:t>
      </w:r>
      <w:r>
        <w:rPr>
          <w:rFonts w:cs="Times New Roman" w:ascii="Times New Roman" w:hAnsi="Times New Roman"/>
          <w:lang w:val="uk-UA"/>
        </w:rPr>
        <w:t xml:space="preserve">зазначає  повне найменування запропонованого товару (марку, модель, артикул і т.п.), що має містити характеристики, які відповідають вимогам зазначеним у </w:t>
      </w:r>
      <w:r>
        <w:rPr>
          <w:rFonts w:eastAsia="Times New Roman" w:cs="Times New Roman" w:ascii="Times New Roman" w:hAnsi="Times New Roman"/>
          <w:bCs/>
          <w:lang w:val="uk-UA" w:eastAsia="ru-RU" w:bidi="ar-SA"/>
        </w:rPr>
        <w:t>технічній специфікації Додатку №1</w:t>
      </w:r>
      <w:r>
        <w:rPr>
          <w:rFonts w:eastAsia="Times New Roman" w:cs="Times New Roman" w:ascii="Times New Roman" w:hAnsi="Times New Roman"/>
          <w:lang w:val="uk-UA" w:eastAsia="ru-RU" w:bidi="ar-SA"/>
        </w:rPr>
        <w:t xml:space="preserve"> до тендерної документації</w:t>
      </w:r>
      <w:r>
        <w:rPr>
          <w:rFonts w:cs="Times New Roman" w:ascii="Times New Roman" w:hAnsi="Times New Roman"/>
          <w:lang w:val="uk-UA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lang w:val="uk-UA"/>
        </w:rPr>
        <w:t>Примітки:</w:t>
      </w:r>
      <w:r>
        <w:rPr>
          <w:rFonts w:cs="Times New Roman" w:ascii="Times New Roman" w:hAnsi="Times New Roman"/>
          <w:lang w:val="uk-UA"/>
        </w:rPr>
        <w:t xml:space="preserve"> у разі відсутності у наданій учасником процедури закупівлі порівняльній таблиці усієї необхідної вищезазначеної інформації, що вимагається, то даний документ може бути розцінене, як такий, що не відповідає умовам тендерної документації та у такому разі тендерна пропозиція учасника процедури закупівлі може бути відхилена.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lang w:val="uk-UA" w:eastAsia="ru-RU" w:bidi="ar-SA"/>
        </w:rPr>
        <w:t xml:space="preserve">7.3. </w:t>
      </w:r>
      <w:r>
        <w:rPr>
          <w:rFonts w:eastAsia="Times New Roman" w:cs="Times New Roman" w:ascii="Times New Roman" w:hAnsi="Times New Roman"/>
          <w:b/>
          <w:bCs/>
          <w:color w:val="00000A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color w:val="00000A"/>
          <w:lang w:val="uk-UA" w:eastAsia="uk-UA" w:bidi="ar-SA"/>
        </w:rPr>
        <w:t xml:space="preserve"> (в довільній формі) від учасника процедури закупівлі, про те</w:t>
      </w:r>
      <w:r>
        <w:rPr>
          <w:rFonts w:eastAsia="Times New Roman" w:cs="Times New Roman" w:ascii="Times New Roman" w:hAnsi="Times New Roman"/>
          <w:lang w:val="uk-UA" w:eastAsia="uk-UA" w:bidi="ar-SA"/>
        </w:rPr>
        <w:t>, що п</w:t>
      </w:r>
      <w:r>
        <w:rPr>
          <w:rFonts w:eastAsia="Times New Roman" w:cs="Times New Roman" w:ascii="Times New Roman" w:hAnsi="Times New Roman"/>
          <w:lang w:val="uk-UA" w:eastAsia="ar-SA" w:bidi="ar-SA"/>
        </w:rPr>
        <w:t>риймання товару здійснюватиметься Замовником по кількості та якості в момент одержання його від Постачальника (переможця процедури закупівлі). Якість товару, що постачається буде відповідати державним нормам та стандартам, що діють в Україні на момент постачання такого. Товар, що поставляється учасником, матиме на момент поставки відповідні товаросупроваджуючі документи, що передбачені законодавством для даного виду товару (висновок державної санітарно-епідеміологічної експертизи та/або сертифікат походження продукції та/або технічний паспорт на виріб, декларацію про відповідність вимогам технічних регламентів, або інші передбачені документи, тощо). Товар буде укомплектований україномовними інструкціями користувача.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lang w:val="uk-UA" w:eastAsia="ru-RU" w:bidi="ar-SA"/>
        </w:rPr>
        <w:t>7.4.</w:t>
      </w:r>
      <w:r>
        <w:rPr>
          <w:rFonts w:eastAsia="Times New Roman" w:cs="Times New Roman" w:ascii="Times New Roman" w:hAnsi="Times New Roman"/>
          <w:b/>
          <w:bCs/>
          <w:color w:val="00000A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color w:val="00000A"/>
          <w:lang w:val="uk-UA" w:eastAsia="uk-UA" w:bidi="ar-SA"/>
        </w:rPr>
        <w:t xml:space="preserve"> (в довільній формі) від учасника процедури закупівлі, у якому має бути зазначено, що проведення навантажувально-розвантажувальних робіт, поставка (транспортування) товару до Замовника, інсталяція, встановлення, введення в експлуатацію та підключення обладнання, здійснюється силами та за рахунок Постачальника / переможця процедури закупівлі та ціна пропозиції учасника процедури закупівлі включає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7.5.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(в довільній формі) від учасника процедури закупівлі, у якому має бути зазначено, що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учасник процедури закупівлі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не є громадянин Російської Федерації/Республіки Білорусь (крім того, що проживає на території України на законних підставах),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пропонує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7.6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. Гарантійний лист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(в довільній формі)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від учасника процедури закупівлі, у якому має бути зазначено,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sectPr>
      <w:footerReference w:type="default" r:id="rId2"/>
      <w:type w:val="nextPage"/>
      <w:pgSz w:w="11906" w:h="16838"/>
      <w:pgMar w:left="993" w:right="567" w:gutter="0" w:header="0" w:top="851" w:footer="1134" w:bottom="1693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FreeSet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bullet"/>
      <w:lvlText w:val="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412"/>
        </w:tabs>
        <w:ind w:start="41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772"/>
        </w:tabs>
        <w:ind w:start="7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132"/>
        </w:tabs>
        <w:ind w:start="11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492"/>
        </w:tabs>
        <w:ind w:start="149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852"/>
        </w:tabs>
        <w:ind w:start="18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212"/>
        </w:tabs>
        <w:ind w:start="22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572"/>
        </w:tabs>
        <w:ind w:start="257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932"/>
        </w:tabs>
        <w:ind w:start="29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292"/>
        </w:tabs>
        <w:ind w:start="3292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412"/>
        </w:tabs>
        <w:ind w:start="41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772"/>
        </w:tabs>
        <w:ind w:start="7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132"/>
        </w:tabs>
        <w:ind w:start="11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492"/>
        </w:tabs>
        <w:ind w:start="149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852"/>
        </w:tabs>
        <w:ind w:start="18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212"/>
        </w:tabs>
        <w:ind w:start="22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572"/>
        </w:tabs>
        <w:ind w:start="257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932"/>
        </w:tabs>
        <w:ind w:start="29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292"/>
        </w:tabs>
        <w:ind w:start="3292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412"/>
        </w:tabs>
        <w:ind w:start="41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772"/>
        </w:tabs>
        <w:ind w:start="7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132"/>
        </w:tabs>
        <w:ind w:start="11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492"/>
        </w:tabs>
        <w:ind w:start="149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852"/>
        </w:tabs>
        <w:ind w:start="18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212"/>
        </w:tabs>
        <w:ind w:start="22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572"/>
        </w:tabs>
        <w:ind w:start="257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932"/>
        </w:tabs>
        <w:ind w:start="29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292"/>
        </w:tabs>
        <w:ind w:start="3292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412"/>
        </w:tabs>
        <w:ind w:start="41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772"/>
        </w:tabs>
        <w:ind w:start="7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132"/>
        </w:tabs>
        <w:ind w:start="11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492"/>
        </w:tabs>
        <w:ind w:start="149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852"/>
        </w:tabs>
        <w:ind w:start="18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212"/>
        </w:tabs>
        <w:ind w:start="22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572"/>
        </w:tabs>
        <w:ind w:start="257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932"/>
        </w:tabs>
        <w:ind w:start="29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292"/>
        </w:tabs>
        <w:ind w:start="3292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412"/>
        </w:tabs>
        <w:ind w:start="41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772"/>
        </w:tabs>
        <w:ind w:start="7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132"/>
        </w:tabs>
        <w:ind w:start="11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492"/>
        </w:tabs>
        <w:ind w:start="149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1852"/>
        </w:tabs>
        <w:ind w:start="18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212"/>
        </w:tabs>
        <w:ind w:start="22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572"/>
        </w:tabs>
        <w:ind w:start="257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2932"/>
        </w:tabs>
        <w:ind w:start="29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292"/>
        </w:tabs>
        <w:ind w:start="3292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530"/>
        </w:tabs>
        <w:ind w:start="530" w:hanging="360"/>
      </w:pPr>
      <w:rPr/>
    </w:lvl>
    <w:lvl w:ilvl="1">
      <w:start w:val="1"/>
      <w:numFmt w:val="decimal"/>
      <w:lvlText w:val="%2."/>
      <w:lvlJc w:val="start"/>
      <w:pPr>
        <w:tabs>
          <w:tab w:val="num" w:pos="890"/>
        </w:tabs>
        <w:ind w:start="890" w:hanging="360"/>
      </w:pPr>
      <w:rPr/>
    </w:lvl>
    <w:lvl w:ilvl="2">
      <w:start w:val="1"/>
      <w:numFmt w:val="decimal"/>
      <w:lvlText w:val="%3."/>
      <w:lvlJc w:val="start"/>
      <w:pPr>
        <w:tabs>
          <w:tab w:val="num" w:pos="1250"/>
        </w:tabs>
        <w:ind w:start="1250" w:hanging="360"/>
      </w:pPr>
      <w:rPr/>
    </w:lvl>
    <w:lvl w:ilvl="3">
      <w:start w:val="1"/>
      <w:numFmt w:val="decimal"/>
      <w:lvlText w:val="%4."/>
      <w:lvlJc w:val="start"/>
      <w:pPr>
        <w:tabs>
          <w:tab w:val="num" w:pos="1610"/>
        </w:tabs>
        <w:ind w:start="1610" w:hanging="360"/>
      </w:pPr>
      <w:rPr/>
    </w:lvl>
    <w:lvl w:ilvl="4">
      <w:start w:val="1"/>
      <w:numFmt w:val="decimal"/>
      <w:lvlText w:val="%5."/>
      <w:lvlJc w:val="start"/>
      <w:pPr>
        <w:tabs>
          <w:tab w:val="num" w:pos="1970"/>
        </w:tabs>
        <w:ind w:start="1970" w:hanging="360"/>
      </w:pPr>
      <w:rPr/>
    </w:lvl>
    <w:lvl w:ilvl="5">
      <w:start w:val="1"/>
      <w:numFmt w:val="decimal"/>
      <w:lvlText w:val="%6."/>
      <w:lvlJc w:val="start"/>
      <w:pPr>
        <w:tabs>
          <w:tab w:val="num" w:pos="2330"/>
        </w:tabs>
        <w:ind w:start="2330" w:hanging="360"/>
      </w:pPr>
      <w:rPr/>
    </w:lvl>
    <w:lvl w:ilvl="6">
      <w:start w:val="1"/>
      <w:numFmt w:val="decimal"/>
      <w:lvlText w:val="%7."/>
      <w:lvlJc w:val="start"/>
      <w:pPr>
        <w:tabs>
          <w:tab w:val="num" w:pos="2690"/>
        </w:tabs>
        <w:ind w:start="2690" w:hanging="360"/>
      </w:pPr>
      <w:rPr/>
    </w:lvl>
    <w:lvl w:ilvl="7">
      <w:start w:val="1"/>
      <w:numFmt w:val="decimal"/>
      <w:lvlText w:val="%8."/>
      <w:lvlJc w:val="start"/>
      <w:pPr>
        <w:tabs>
          <w:tab w:val="num" w:pos="3050"/>
        </w:tabs>
        <w:ind w:start="3050" w:hanging="360"/>
      </w:pPr>
      <w:rPr/>
    </w:lvl>
    <w:lvl w:ilvl="8">
      <w:start w:val="1"/>
      <w:numFmt w:val="decimal"/>
      <w:lvlText w:val="%9."/>
      <w:lvlJc w:val="start"/>
      <w:pPr>
        <w:tabs>
          <w:tab w:val="num" w:pos="3410"/>
        </w:tabs>
        <w:ind w:start="341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/>
    </w:rPr>
  </w:style>
  <w:style w:type="paragraph" w:styleId="Heading2">
    <w:name w:val="Heading 2"/>
    <w:basedOn w:val="Normal"/>
    <w:qFormat/>
    <w:pPr>
      <w:numPr>
        <w:ilvl w:val="0"/>
        <w:numId w:val="0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Style14"/>
    <w:qFormat/>
    <w:pPr/>
    <w:rPr/>
  </w:style>
  <w:style w:type="character" w:styleId="Style11">
    <w:name w:val="Маркери"/>
    <w:qFormat/>
    <w:rPr>
      <w:rFonts w:ascii="OpenSymbol" w:hAnsi="OpenSymbol" w:eastAsia="OpenSymbol" w:cs="OpenSymbol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2350">
    <w:name w:val="2350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Символ нумерації"/>
    <w:qFormat/>
    <w:rPr/>
  </w:style>
  <w:style w:type="character" w:styleId="Hps">
    <w:name w:val="hps"/>
    <w:qFormat/>
    <w:rPr/>
  </w:style>
  <w:style w:type="character" w:styleId="Style13">
    <w:name w:val="Основной шрифт абзаца"/>
    <w:qFormat/>
    <w:rPr/>
  </w:style>
  <w:style w:type="character" w:styleId="D-none">
    <w:name w:val="d-none"/>
    <w:basedOn w:val="Style13"/>
    <w:qFormat/>
    <w:rPr/>
  </w:style>
  <w:style w:type="character" w:styleId="Rvts0">
    <w:name w:val="rvts0"/>
    <w:qFormat/>
    <w:rPr>
      <w:rFonts w:cs="Times New Roman"/>
    </w:rPr>
  </w:style>
  <w:style w:type="character" w:styleId="Liki-item-option-title">
    <w:name w:val="liki-item-option-title"/>
    <w:basedOn w:val="DefaultParagraphFont"/>
    <w:qFormat/>
    <w:rPr/>
  </w:style>
  <w:style w:type="character" w:styleId="WW8Num3z0">
    <w:name w:val="WW8Num3z0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Mangal"/>
    </w:rPr>
  </w:style>
  <w:style w:type="paragraph" w:styleId="Style16">
    <w:name w:val="Вміст таблиці"/>
    <w:basedOn w:val="Normal"/>
    <w:qFormat/>
    <w:pPr>
      <w:suppressLineNumbers/>
    </w:pPr>
    <w:rPr/>
  </w:style>
  <w:style w:type="paragraph" w:styleId="Style1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Calibri" w:hAnsi="Calibri" w:eastAsia="Calibri" w:cs="Times New Roman"/>
      <w:color w:val="auto"/>
      <w:kern w:val="2"/>
      <w:sz w:val="22"/>
      <w:szCs w:val="22"/>
      <w:lang w:val="uk-UA" w:eastAsia="en-US" w:bidi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76" w:before="100" w:after="100"/>
      <w:jc w:val="start"/>
      <w:textAlignment w:val="auto"/>
    </w:pPr>
    <w:rPr>
      <w:rFonts w:ascii="Calibri" w:hAnsi="Calibri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spacing w:before="0" w:after="200"/>
      <w:ind w:hanging="0" w:start="720" w:end="0"/>
      <w:contextualSpacing/>
    </w:pPr>
    <w:rPr/>
  </w:style>
  <w:style w:type="paragraph" w:styleId="1">
    <w:name w:val="Îáû÷íûé1"/>
    <w:qFormat/>
    <w:pPr>
      <w:widowControl/>
      <w:suppressAutoHyphens w:val="true"/>
      <w:overflowPunct w:val="false"/>
      <w:bidi w:val="0"/>
      <w:spacing w:before="0" w:after="0"/>
      <w:jc w:val="start"/>
      <w:textAlignment w:val="auto"/>
    </w:pPr>
    <w:rPr>
      <w:rFonts w:ascii="FreeSet" w:hAnsi="FreeSet" w:eastAsia="Times New Roman" w:cs="Liberation Serif"/>
      <w:color w:val="000000"/>
      <w:kern w:val="2"/>
      <w:sz w:val="24"/>
      <w:szCs w:val="24"/>
      <w:lang w:val="en-US" w:eastAsia="ar-SA" w:bidi="ar-SA"/>
    </w:rPr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Times New Roman" w:hAnsi="Times New Roman" w:eastAsia="Times New Roman" w:cs="Times New Roman"/>
      <w:lang w:val="en-US" w:eastAsia="zh-CN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uk-UA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before="100" w:after="100"/>
      <w:jc w:val="star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18">
    <w:name w:val="Заголовок таблиці"/>
    <w:basedOn w:val="Style16"/>
    <w:qFormat/>
    <w:pPr>
      <w:suppressLineNumbers/>
      <w:jc w:val="center"/>
    </w:pPr>
    <w:rPr>
      <w:b/>
      <w:bCs/>
    </w:rPr>
  </w:style>
  <w:style w:type="paragraph" w:styleId="ListParagraph11">
    <w:name w:val="List Paragraph11"/>
    <w:basedOn w:val="Normal"/>
    <w:qFormat/>
    <w:pPr>
      <w:suppressAutoHyphens w:val="false"/>
      <w:spacing w:lineRule="auto" w:line="240" w:before="0" w:after="0"/>
      <w:ind w:hanging="0" w:start="720" w:end="0"/>
      <w:contextualSpacing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Style19">
    <w:name w:val="Базовый"/>
    <w:qFormat/>
    <w:pPr>
      <w:widowControl w:val="false"/>
      <w:suppressAutoHyphens w:val="true"/>
      <w:overflowPunct w:val="false"/>
      <w:bidi w:val="0"/>
      <w:spacing w:lineRule="atLeast" w:line="100" w:before="0" w:after="0"/>
      <w:jc w:val="star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start"/>
    </w:pPr>
    <w:rPr>
      <w:rFonts w:ascii="Courier New" w:hAnsi="Courier New" w:cs="Courier New"/>
      <w:sz w:val="20"/>
    </w:rPr>
  </w:style>
  <w:style w:type="paragraph" w:styleId="Style20">
    <w:name w:val="Звичайни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styleId="21">
    <w:name w:val="Основной текст 21"/>
    <w:basedOn w:val="Normal"/>
    <w:qFormat/>
    <w:pPr>
      <w:suppressAutoHyphens w:val="false"/>
      <w:overflowPunct w:val="true"/>
      <w:spacing w:lineRule="auto" w:line="480" w:before="0" w:after="120"/>
    </w:pPr>
    <w:rPr>
      <w:rFonts w:ascii="Times New Roman CYR" w:hAnsi="Times New Roman CYR" w:eastAsia="Calibri" w:cs="Times New Roman"/>
      <w:kern w:val="0"/>
      <w:lang w:val="x-none" w:bidi="ar-SA"/>
    </w:rPr>
  </w:style>
  <w:style w:type="paragraph" w:styleId="2">
    <w:name w:val="Обычный2"/>
    <w:qFormat/>
    <w:pPr>
      <w:widowControl/>
      <w:suppressAutoHyphens w:val="true"/>
      <w:overflowPunct w:val="true"/>
      <w:bidi w:val="0"/>
      <w:spacing w:lineRule="auto" w:line="276" w:before="0" w:after="0"/>
      <w:jc w:val="start"/>
    </w:pPr>
    <w:rPr>
      <w:rFonts w:ascii="Arial" w:hAnsi="Arial" w:eastAsia="Arial" w:cs="Arial"/>
      <w:color w:val="000000"/>
      <w:kern w:val="2"/>
      <w:sz w:val="20"/>
      <w:szCs w:val="24"/>
      <w:lang w:val="en-US" w:eastAsia="ru-RU" w:bidi="hi-I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13</Pages>
  <Words>3808</Words>
  <Characters>23842</Characters>
  <CharactersWithSpaces>27198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2023-03-09T23:27:02Z</dcterms:created>
  <dc:creator/>
  <dc:description/>
  <dc:language>uk-UA</dc:language>
  <cp:lastModifiedBy/>
  <dcterms:modified xsi:type="dcterms:W3CDTF">2023-10-12T10:54:17Z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