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ДОДАТОК № 2</w:t>
      </w:r>
      <w:r>
        <w:rPr>
          <w:rFonts w:ascii="Times New Roman" w:hAnsi="Times New Roman" w:eastAsia="Times New Roman" w:cs="Times New Roman"/>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r>
        <w:rPr>
          <w:rFonts w:ascii="Times New Roman" w:hAnsi="Times New Roman" w:eastAsia="Times New Roman" w:cs="Times New Roman"/>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sz w:val="20"/>
          <w:szCs w:val="20"/>
        </w:rPr>
        <w:t xml:space="preserve">1. Підтвердження відповідності УЧАСНИКА </w:t>
      </w:r>
      <w:r>
        <w:rPr>
          <w:rFonts w:ascii="Times New Roman" w:hAnsi="Times New Roman" w:eastAsia="Times New Roman" w:cs="Times New Roman"/>
          <w:b/>
        </w:rPr>
        <w:t>(в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highlight w:val="white"/>
          <w:color w:val="00b050"/>
          <w:sz w:val="20"/>
          <w:szCs w:val="20"/>
        </w:rPr>
        <w:t>47</w:t>
      </w:r>
      <w:r>
        <w:rPr>
          <w:rFonts w:ascii="Times New Roman" w:hAnsi="Times New Roman" w:eastAsia="Times New Roman" w:cs="Times New Roman"/>
          <w:highlight w:val="white"/>
          <w:sz w:val="20"/>
          <w:szCs w:val="20"/>
        </w:rPr>
        <w:t xml:space="preserve"> Особливостей.</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80"/>
        <w:jc w:val="both"/>
        <w:rPr>
          <w:rFonts w:ascii="Times New Roman" w:hAnsi="Times New Roman" w:eastAsia="Times New Roman" w:cs="Times New Roman"/>
          <w:highlight w:val="yellow"/>
          <w:color w:val="00b050"/>
          <w:sz w:val="20"/>
          <w:szCs w:val="20"/>
        </w:rPr>
      </w:pPr>
      <w:r>
        <w:rPr>
          <w:rFonts w:ascii="Times New Roman" w:hAnsi="Times New Roman" w:eastAsia="Times New Roman" w:cs="Times New Roman"/>
          <w:highlight w:val="yellow"/>
          <w:color w:val="00b050"/>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2.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sz w:val="20"/>
          <w:szCs w:val="20"/>
        </w:rPr>
        <w:t>47</w:t>
      </w:r>
      <w:r>
        <w:rPr>
          <w:rFonts w:ascii="Times New Roman" w:hAnsi="Times New Roman" w:eastAsia="Times New Roman" w:cs="Times New Roman"/>
          <w:b/>
          <w:highlight w:val="white"/>
          <w:bCs/>
        </w:rPr>
        <w:t xml:space="preserve"> </w:t>
      </w:r>
      <w:r>
        <w:rPr>
          <w:rFonts w:ascii="Times New Roman" w:hAnsi="Times New Roman" w:eastAsia="Times New Roman" w:cs="Times New Roman"/>
          <w:b/>
          <w:highlight w:val="white"/>
        </w:rPr>
        <w:t>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2.1. Документи, які надаються  ПЕРЕМОЖЦЕМ (юридичною особою):</w:t>
      </w:r>
    </w:p>
    <w:tbl>
      <w:tblPr>
        <w:tblStyle w:val=""/>
        <w:name w:val="Таблиця1"/>
        <w:tabOrder w:val="0"/>
        <w:jc w:val="left"/>
        <w:tblInd w:w="-100" w:type="dxa"/>
        <w:tblW w:w="9618" w:type="dxa"/>
        <w:tblLook w:val="0400" w:firstRow="0" w:lastRow="0" w:firstColumn="0" w:lastColumn="0" w:noHBand="0" w:noVBand="1"/>
      </w:tblPr>
      <w:tblGrid>
        <w:gridCol w:w="765"/>
        <w:gridCol w:w="4350"/>
        <w:gridCol w:w="4503"/>
      </w:tblGrid>
      <w:tr>
        <w:trPr>
          <w:tblHeader w:val="0"/>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tblHeader w:val="0"/>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tblHeader w:val="0"/>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tblHeader w:val="0"/>
          <w:cantSplit w:val="0"/>
          <w:trHeight w:val="19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0925265" protected="0"/>
          </w:tcPr>
          <w:p/>
        </w:tc>
      </w:tr>
      <w:tr>
        <w:trPr>
          <w:tblHeader w:val="0"/>
          <w:cantSplit w:val="0"/>
          <w:trHeight w:val="720"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2.2.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2"/>
        <w:tabOrder w:val="0"/>
        <w:jc w:val="left"/>
        <w:tblInd w:w="-100" w:type="dxa"/>
        <w:tblW w:w="9619" w:type="dxa"/>
        <w:tblLook w:val="0400" w:firstRow="0" w:lastRow="0" w:firstColumn="0" w:lastColumn="0" w:noHBand="0" w:noVBand="1"/>
      </w:tblPr>
      <w:tblGrid>
        <w:gridCol w:w="587"/>
        <w:gridCol w:w="4427"/>
        <w:gridCol w:w="4605"/>
      </w:tblGrid>
      <w:tr>
        <w:trPr>
          <w:tblHeader w:val="0"/>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tblHeader w:val="0"/>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tblHeader w:val="0"/>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tblHeader w:val="0"/>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0925265" protected="0"/>
          </w:tcPr>
          <w:p/>
        </w:tc>
      </w:tr>
      <w:tr>
        <w:trPr>
          <w:tblHeader w:val="0"/>
          <w:cantSplit w:val="0"/>
          <w:trHeight w:val="436"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3</w:t>
      </w:r>
      <w:r/>
      <w:bookmarkStart w:id="0" w:name="_GoBack"/>
      <w:r/>
      <w:bookmarkEnd w:id="0"/>
      <w:r/>
      <w:r>
        <w:rPr>
          <w:rFonts w:ascii="Times New Roman" w:hAnsi="Times New Roman" w:eastAsia="Times New Roman" w:cs="Times New Roman"/>
          <w:b/>
          <w:color w:val="000000"/>
          <w:sz w:val="20"/>
          <w:szCs w:val="20"/>
        </w:rPr>
        <w:t xml:space="preserve">.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w:t>
      </w:r>
      <w:r>
        <w:rPr>
          <w:rFonts w:ascii="Times New Roman" w:hAnsi="Times New Roman" w:eastAsia="Times New Roman" w:cs="Times New Roman"/>
          <w:b/>
          <w:color w:val="000000"/>
          <w:sz w:val="20"/>
          <w:szCs w:val="20"/>
        </w:rPr>
        <w:t>ідприємців).</w:t>
      </w:r>
      <w:r>
        <w:rPr>
          <w:rFonts w:ascii="Times New Roman" w:hAnsi="Times New Roman" w:eastAsia="Times New Roman" w:cs="Times New Roman"/>
          <w:sz w:val="20"/>
          <w:szCs w:val="20"/>
        </w:rPr>
      </w:r>
    </w:p>
    <w:tbl>
      <w:tblPr>
        <w:tblStyle w:val=""/>
        <w:name w:val="Таблиця3"/>
        <w:tabOrder w:val="0"/>
        <w:jc w:val="left"/>
        <w:tblInd w:w="-100" w:type="dxa"/>
        <w:tblW w:w="9619" w:type="dxa"/>
        <w:tblLook w:val="0400" w:firstRow="0" w:lastRow="0" w:firstColumn="0" w:lastColumn="0" w:noHBand="0" w:noVBand="1"/>
      </w:tblPr>
      <w:tblGrid>
        <w:gridCol w:w="400"/>
        <w:gridCol w:w="9219"/>
      </w:tblGrid>
      <w:tr>
        <w:trPr>
          <w:tblHeader w:val="0"/>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tblHeader w:val="0"/>
          <w:cantSplit w:val="0"/>
          <w:trHeight w:val="761"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w:t>
            </w:r>
            <w:r>
              <w:rPr>
                <w:rFonts w:ascii="Times New Roman" w:hAnsi="Times New Roman" w:eastAsia="Times New Roman" w:cs="Times New Roman"/>
                <w:sz w:val="20"/>
                <w:szCs w:val="20"/>
              </w:rPr>
              <w:t xml:space="preserve">Білорусь/ </w:t>
            </w:r>
            <w:r>
              <w:rPr>
                <w:rFonts w:ascii="Times New Roman" w:hAnsi="Times New Roman" w:eastAsia="Times New Roman" w:cs="Times New Roman"/>
                <w:highlight w:val="white"/>
                <w:color w:val="000000"/>
                <w:sz w:val="20"/>
                <w:szCs w:val="20"/>
                <w:lang w:eastAsia="zh-cn"/>
              </w:rPr>
              <w:t>Ісламської Республіки Іран</w:t>
            </w:r>
            <w:r>
              <w:rPr>
                <w:rFonts w:ascii="Times New Roman" w:hAnsi="Times New Roman" w:eastAsia="Times New Roman" w:cs="Times New Roman"/>
                <w:sz w:val="20"/>
                <w:szCs w:val="20"/>
              </w:rPr>
              <w:t xml:space="preserve">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складена у довільній формі за підписом директора (уповноваженої особи), яка містить відомості про підприємство: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повне найменування;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юридична адреса, поштова або фактична адреса;</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код ЄДРПОУ підприємства (або ІПН - ФОП);</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банківські реквізити (поточний рахунок, назва банку, в якому відкритий рахунок та МФО);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тел./факс;</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е-mail;</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посада керівника та П.І.Б. (для ФОП зазначається П.І.Б) та на підставі чого діє.</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5</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Ідентифікаційний код учасника в Єдиному державному реєстрі юридичних осіб, фізичних осіб-підприємців та громадських формувань (для юридичних осіб).</w:t>
            </w:r>
          </w:p>
        </w:tc>
      </w:tr>
      <w:tr>
        <w:trPr>
          <w:tblHeader w:val="0"/>
          <w:cantSplit w:val="0"/>
          <w:trHeight w:val="473"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6</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про присвоєння ідентифікаційного коду та паспорт (для фізичних осіб).</w:t>
            </w:r>
          </w:p>
        </w:tc>
      </w:tr>
      <w:tr>
        <w:trPr>
          <w:tblHeader w:val="0"/>
          <w:cantSplit w:val="0"/>
          <w:trHeight w:val="386"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7</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Статут (Положення) тощо.</w:t>
            </w:r>
          </w:p>
        </w:tc>
      </w:tr>
      <w:tr>
        <w:trPr>
          <w:tblHeader w:val="0"/>
          <w:cantSplit w:val="0"/>
          <w:trHeight w:val="409"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8</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0925265"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Документи про статус платника податку (Свідоцтво, витяг тощо).</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2"/>
      <w:tmLastPosIdx w:val="25"/>
    </w:tmLastPosCaret>
    <w:tmLastPosAnchor>
      <w:tmLastPosPgfIdx w:val="1"/>
      <w:tmLastPosIdx w:val="0"/>
    </w:tmLastPosAnchor>
    <w:tmLastPosTblRect w:left="0" w:top="0" w:right="0" w:bottom="0"/>
  </w:tmLastPos>
  <w:tmAppRevision w:date="1710925265"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5</cp:revision>
  <cp:lastPrinted>2023-10-06T10:45:00Z</cp:lastPrinted>
  <dcterms:created xsi:type="dcterms:W3CDTF">2023-11-24T13:58:00Z</dcterms:created>
  <dcterms:modified xsi:type="dcterms:W3CDTF">2024-03-20T08:01:05Z</dcterms:modified>
</cp:coreProperties>
</file>