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5E" w:rsidRDefault="00A3125E">
      <w:pPr>
        <w:spacing w:after="0" w:line="240" w:lineRule="auto"/>
        <w:ind w:left="5660"/>
        <w:jc w:val="right"/>
        <w:rPr>
          <w:rFonts w:ascii="Times New Roman" w:eastAsia="Times New Roman" w:hAnsi="Times New Roman" w:cs="Times New Roman"/>
          <w:b/>
          <w:color w:val="000000"/>
          <w:sz w:val="24"/>
          <w:szCs w:val="24"/>
        </w:rPr>
      </w:pPr>
    </w:p>
    <w:p w:rsidR="00A3125E" w:rsidRDefault="00C537C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125E" w:rsidRDefault="00C537C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06C86" w:rsidRDefault="00B06C86" w:rsidP="00B06C86">
      <w:pPr>
        <w:spacing w:after="0" w:line="257" w:lineRule="auto"/>
        <w:jc w:val="center"/>
        <w:rPr>
          <w:rFonts w:ascii="Times New Roman" w:hAnsi="Times New Roman" w:cs="Times New Roman"/>
          <w:b/>
          <w:noProof/>
          <w:sz w:val="28"/>
          <w:szCs w:val="28"/>
        </w:rPr>
      </w:pPr>
    </w:p>
    <w:p w:rsidR="00B06C86" w:rsidRPr="00BE0042" w:rsidRDefault="00B06C86" w:rsidP="00B06C86">
      <w:pPr>
        <w:spacing w:after="0" w:line="257" w:lineRule="auto"/>
        <w:jc w:val="center"/>
        <w:rPr>
          <w:rFonts w:ascii="Times New Roman" w:hAnsi="Times New Roman" w:cs="Times New Roman"/>
          <w:b/>
          <w:noProof/>
          <w:sz w:val="28"/>
          <w:szCs w:val="28"/>
        </w:rPr>
      </w:pPr>
      <w:r w:rsidRPr="00BE0042">
        <w:rPr>
          <w:rFonts w:ascii="Times New Roman" w:hAnsi="Times New Roman" w:cs="Times New Roman"/>
          <w:b/>
          <w:noProof/>
          <w:sz w:val="28"/>
          <w:szCs w:val="28"/>
        </w:rPr>
        <w:t>ТЕХНІЧНІ, КІЛЬКІСНІ ТА ЯКІСНІ</w:t>
      </w:r>
    </w:p>
    <w:p w:rsidR="00B06C86" w:rsidRPr="00BE0042" w:rsidRDefault="00B06C86" w:rsidP="00B06C86">
      <w:pPr>
        <w:spacing w:after="0" w:line="257" w:lineRule="auto"/>
        <w:jc w:val="center"/>
        <w:rPr>
          <w:rFonts w:ascii="Times New Roman" w:hAnsi="Times New Roman" w:cs="Times New Roman"/>
          <w:b/>
          <w:noProof/>
          <w:sz w:val="28"/>
          <w:szCs w:val="28"/>
        </w:rPr>
      </w:pPr>
      <w:r w:rsidRPr="00BE0042">
        <w:rPr>
          <w:rFonts w:ascii="Times New Roman" w:hAnsi="Times New Roman" w:cs="Times New Roman"/>
          <w:b/>
          <w:noProof/>
          <w:sz w:val="28"/>
          <w:szCs w:val="28"/>
        </w:rPr>
        <w:t>ХАРАКТЕРИСТИКИ ПРЕДМЕТА ЗАКУПІВЛІ</w:t>
      </w:r>
    </w:p>
    <w:p w:rsidR="00A3125E" w:rsidRDefault="00A3125E">
      <w:pPr>
        <w:spacing w:before="240" w:after="0" w:line="240" w:lineRule="auto"/>
        <w:jc w:val="center"/>
        <w:rPr>
          <w:rFonts w:ascii="Times New Roman" w:eastAsia="Times New Roman" w:hAnsi="Times New Roman" w:cs="Times New Roman"/>
          <w:b/>
          <w:i/>
          <w:color w:val="000000"/>
          <w:sz w:val="4"/>
          <w:szCs w:val="4"/>
        </w:rPr>
      </w:pPr>
    </w:p>
    <w:p w:rsidR="00B06C86" w:rsidRDefault="008D742F" w:rsidP="008D742F">
      <w:pPr>
        <w:spacing w:after="0"/>
        <w:ind w:firstLine="709"/>
        <w:jc w:val="center"/>
        <w:rPr>
          <w:rFonts w:ascii="Times New Roman" w:eastAsia="Times New Roman" w:hAnsi="Times New Roman" w:cs="Times New Roman"/>
          <w:b/>
          <w:sz w:val="24"/>
          <w:szCs w:val="24"/>
        </w:rPr>
      </w:pPr>
      <w:r w:rsidRPr="008D742F">
        <w:rPr>
          <w:rFonts w:ascii="Times New Roman" w:eastAsia="Times New Roman" w:hAnsi="Times New Roman" w:cs="Times New Roman"/>
          <w:b/>
          <w:sz w:val="24"/>
          <w:szCs w:val="24"/>
        </w:rPr>
        <w:t>«Відновлювальні роботи (поточний ремонт) Деражнянського будинку культури Деражнянської міської ради Хмельницької області, пошкодженої внаслідок воєнних дій російської федерації за адресою вул. Миру 42, м. Деражня, Хмельницький район, Хмельницької області»</w:t>
      </w:r>
    </w:p>
    <w:p w:rsidR="008D742F" w:rsidRDefault="008D742F" w:rsidP="008D742F">
      <w:pPr>
        <w:spacing w:after="0"/>
        <w:ind w:firstLine="709"/>
        <w:jc w:val="center"/>
        <w:rPr>
          <w:rFonts w:ascii="Times New Roman" w:eastAsia="Times New Roman" w:hAnsi="Times New Roman" w:cs="Times New Roman"/>
          <w:b/>
          <w:sz w:val="24"/>
          <w:szCs w:val="24"/>
        </w:rPr>
      </w:pPr>
      <w:bookmarkStart w:id="0" w:name="_GoBack"/>
      <w:bookmarkEnd w:id="0"/>
      <w:r w:rsidRPr="008D742F">
        <w:rPr>
          <w:rFonts w:ascii="Times New Roman" w:eastAsia="Times New Roman" w:hAnsi="Times New Roman" w:cs="Times New Roman"/>
          <w:b/>
          <w:sz w:val="24"/>
          <w:szCs w:val="24"/>
        </w:rPr>
        <w:t>за кодом ДК 021:2015: 45450000-6 — Інші завершальні будівельні роботи</w:t>
      </w:r>
    </w:p>
    <w:p w:rsidR="008D742F" w:rsidRPr="00296344" w:rsidRDefault="008D742F" w:rsidP="00B06C86">
      <w:pPr>
        <w:spacing w:after="0"/>
        <w:ind w:firstLine="709"/>
        <w:jc w:val="both"/>
        <w:rPr>
          <w:rFonts w:ascii="Times New Roman" w:hAnsi="Times New Roman" w:cs="Times New Roman"/>
          <w:bCs/>
          <w:noProof/>
          <w:sz w:val="20"/>
          <w:szCs w:val="24"/>
        </w:rPr>
      </w:pPr>
    </w:p>
    <w:p w:rsidR="00B06C86" w:rsidRDefault="00B06C86" w:rsidP="00296344">
      <w:pPr>
        <w:spacing w:after="0" w:line="240" w:lineRule="auto"/>
        <w:ind w:firstLine="709"/>
        <w:jc w:val="both"/>
        <w:rPr>
          <w:rFonts w:ascii="Times New Roman" w:hAnsi="Times New Roman" w:cs="Times New Roman"/>
          <w:bCs/>
          <w:noProof/>
          <w:sz w:val="24"/>
          <w:szCs w:val="24"/>
        </w:rPr>
      </w:pPr>
      <w:r w:rsidRPr="00BE0042">
        <w:rPr>
          <w:rFonts w:ascii="Times New Roman" w:hAnsi="Times New Roman" w:cs="Times New Roman"/>
          <w:bCs/>
          <w:noProof/>
          <w:sz w:val="24"/>
          <w:szCs w:val="24"/>
        </w:rPr>
        <w:t>Учасник відповідає за одержання будь-яких та/або всіх необхідних дозволів, ліцензій на виконання робіт</w:t>
      </w:r>
      <w:r>
        <w:rPr>
          <w:rFonts w:ascii="Times New Roman" w:hAnsi="Times New Roman" w:cs="Times New Roman"/>
          <w:bCs/>
          <w:noProof/>
          <w:sz w:val="24"/>
          <w:szCs w:val="24"/>
        </w:rPr>
        <w:t>, надання послуг</w:t>
      </w:r>
      <w:r w:rsidRPr="00BE0042">
        <w:rPr>
          <w:rFonts w:ascii="Times New Roman" w:hAnsi="Times New Roman" w:cs="Times New Roman"/>
          <w:bCs/>
          <w:noProof/>
          <w:sz w:val="24"/>
          <w:szCs w:val="24"/>
        </w:rPr>
        <w:t>, сертифікатів на обладнання та матеріали, які будуть використовуватись при виконанні робіт</w:t>
      </w:r>
      <w:r>
        <w:rPr>
          <w:rFonts w:ascii="Times New Roman" w:hAnsi="Times New Roman" w:cs="Times New Roman"/>
          <w:bCs/>
          <w:noProof/>
          <w:sz w:val="24"/>
          <w:szCs w:val="24"/>
        </w:rPr>
        <w:t xml:space="preserve"> з поточного ремонту</w:t>
      </w:r>
      <w:r w:rsidRPr="00BE0042">
        <w:rPr>
          <w:rFonts w:ascii="Times New Roman" w:hAnsi="Times New Roman" w:cs="Times New Roman"/>
          <w:bCs/>
          <w:noProof/>
          <w:sz w:val="24"/>
          <w:szCs w:val="24"/>
        </w:rPr>
        <w:t xml:space="preserve"> за Договором, та інших документів, пов’язаних із поданням пропозиції, та самостійно несе всі витрати на їх отримання.</w:t>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r w:rsidRPr="00BE0042">
        <w:rPr>
          <w:rFonts w:ascii="Times New Roman" w:hAnsi="Times New Roman" w:cs="Times New Roman"/>
          <w:bCs/>
          <w:noProof/>
          <w:sz w:val="24"/>
          <w:szCs w:val="24"/>
        </w:rPr>
        <w:tab/>
      </w:r>
    </w:p>
    <w:p w:rsidR="00B06C86" w:rsidRDefault="00B06C86" w:rsidP="00296344">
      <w:pPr>
        <w:spacing w:after="0" w:line="240" w:lineRule="auto"/>
        <w:ind w:firstLine="709"/>
        <w:jc w:val="both"/>
        <w:rPr>
          <w:rFonts w:ascii="Times New Roman" w:hAnsi="Times New Roman" w:cs="Times New Roman"/>
          <w:bCs/>
          <w:noProof/>
          <w:sz w:val="24"/>
          <w:szCs w:val="24"/>
        </w:rPr>
      </w:pPr>
      <w:r w:rsidRPr="00BE0042">
        <w:rPr>
          <w:rFonts w:ascii="Times New Roman" w:hAnsi="Times New Roman" w:cs="Times New Roman"/>
          <w:bCs/>
          <w:noProof/>
          <w:sz w:val="24"/>
          <w:szCs w:val="24"/>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ДСТУ, інших нормативно-правових актів і нормативних документів у галузі будівництва</w:t>
      </w:r>
      <w:r w:rsidR="00296344">
        <w:rPr>
          <w:rFonts w:ascii="Times New Roman" w:hAnsi="Times New Roman" w:cs="Times New Roman"/>
          <w:bCs/>
          <w:noProof/>
          <w:sz w:val="24"/>
          <w:szCs w:val="24"/>
        </w:rPr>
        <w:t>.</w:t>
      </w:r>
      <w:r>
        <w:rPr>
          <w:rFonts w:ascii="Times New Roman" w:hAnsi="Times New Roman" w:cs="Times New Roman"/>
          <w:bCs/>
          <w:noProof/>
          <w:sz w:val="24"/>
          <w:szCs w:val="24"/>
        </w:rPr>
        <w:tab/>
      </w:r>
      <w:r w:rsidRPr="00BE0042">
        <w:rPr>
          <w:rFonts w:ascii="Times New Roman" w:hAnsi="Times New Roman" w:cs="Times New Roman"/>
          <w:bCs/>
          <w:noProof/>
          <w:sz w:val="24"/>
          <w:szCs w:val="24"/>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Pr>
          <w:rFonts w:ascii="Times New Roman" w:hAnsi="Times New Roman" w:cs="Times New Roman"/>
          <w:bCs/>
          <w:noProof/>
          <w:sz w:val="24"/>
          <w:szCs w:val="24"/>
        </w:rPr>
        <w:t xml:space="preserve"> слід читати як «або еквівалент».</w:t>
      </w:r>
    </w:p>
    <w:p w:rsidR="003D0152" w:rsidRPr="00296344" w:rsidRDefault="003D0152" w:rsidP="003D0152">
      <w:pPr>
        <w:spacing w:after="0" w:line="240" w:lineRule="auto"/>
        <w:jc w:val="center"/>
        <w:rPr>
          <w:rFonts w:ascii="Times New Roman" w:eastAsia="Times New Roman" w:hAnsi="Times New Roman" w:cs="Times New Roman"/>
          <w:b/>
          <w:sz w:val="14"/>
          <w:szCs w:val="24"/>
        </w:rPr>
      </w:pPr>
    </w:p>
    <w:p w:rsidR="003D0152" w:rsidRPr="003D0152" w:rsidRDefault="003D0152" w:rsidP="003D0152">
      <w:pPr>
        <w:spacing w:after="0" w:line="240" w:lineRule="auto"/>
        <w:rPr>
          <w:rFonts w:ascii="Times New Roman" w:eastAsia="Times New Roman" w:hAnsi="Times New Roman" w:cs="Times New Roman"/>
          <w:b/>
          <w:sz w:val="24"/>
          <w:szCs w:val="24"/>
          <w:highlight w:val="white"/>
        </w:rPr>
      </w:pPr>
      <w:r w:rsidRPr="003D0152">
        <w:rPr>
          <w:rFonts w:ascii="Times New Roman" w:eastAsia="Times New Roman" w:hAnsi="Times New Roman" w:cs="Times New Roman"/>
          <w:b/>
          <w:color w:val="000000" w:themeColor="text1"/>
          <w:sz w:val="24"/>
          <w:szCs w:val="24"/>
        </w:rPr>
        <w:t>Обсяги надання послуг: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0"/>
        <w:gridCol w:w="5899"/>
        <w:gridCol w:w="1557"/>
        <w:gridCol w:w="1553"/>
      </w:tblGrid>
      <w:tr w:rsidR="008D742F" w:rsidTr="008D742F">
        <w:tblPrEx>
          <w:tblCellMar>
            <w:top w:w="0" w:type="dxa"/>
            <w:left w:w="0" w:type="dxa"/>
            <w:bottom w:w="0" w:type="dxa"/>
            <w:right w:w="0" w:type="dxa"/>
          </w:tblCellMar>
        </w:tblPrEx>
        <w:trPr>
          <w:trHeight w:hRule="exact" w:val="518"/>
        </w:trPr>
        <w:tc>
          <w:tcPr>
            <w:tcW w:w="331" w:type="pct"/>
            <w:shd w:val="clear" w:color="auto" w:fill="FFFFFF"/>
            <w:vAlign w:val="center"/>
          </w:tcPr>
          <w:p w:rsidR="008D742F" w:rsidRDefault="008D742F" w:rsidP="008D742F">
            <w:pPr>
              <w:pStyle w:val="21"/>
              <w:shd w:val="clear" w:color="auto" w:fill="auto"/>
              <w:spacing w:after="60" w:line="200" w:lineRule="exact"/>
              <w:ind w:left="260"/>
            </w:pPr>
            <w:r>
              <w:rPr>
                <w:rStyle w:val="22"/>
                <w:color w:val="000000"/>
                <w:lang w:eastAsia="uk-UA"/>
              </w:rPr>
              <w:t>№</w:t>
            </w:r>
          </w:p>
          <w:p w:rsidR="008D742F" w:rsidRDefault="008D742F" w:rsidP="008D742F">
            <w:pPr>
              <w:pStyle w:val="21"/>
              <w:shd w:val="clear" w:color="auto" w:fill="auto"/>
              <w:spacing w:before="60" w:after="0" w:line="200" w:lineRule="exact"/>
              <w:ind w:left="200"/>
            </w:pPr>
            <w:proofErr w:type="spellStart"/>
            <w:r>
              <w:rPr>
                <w:rStyle w:val="22"/>
                <w:color w:val="000000"/>
                <w:lang w:eastAsia="uk-UA"/>
              </w:rPr>
              <w:t>Ч.ч</w:t>
            </w:r>
            <w:proofErr w:type="spellEnd"/>
            <w:r>
              <w:rPr>
                <w:rStyle w:val="22"/>
                <w:color w:val="000000"/>
                <w:lang w:eastAsia="uk-UA"/>
              </w:rPr>
              <w:t>.</w:t>
            </w:r>
          </w:p>
        </w:tc>
        <w:tc>
          <w:tcPr>
            <w:tcW w:w="305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Найменування робіт і витрат</w:t>
            </w:r>
          </w:p>
        </w:tc>
        <w:tc>
          <w:tcPr>
            <w:tcW w:w="807" w:type="pct"/>
            <w:shd w:val="clear" w:color="auto" w:fill="FFFFFF"/>
            <w:vAlign w:val="center"/>
          </w:tcPr>
          <w:p w:rsidR="008D742F" w:rsidRDefault="008D742F" w:rsidP="008D742F">
            <w:pPr>
              <w:pStyle w:val="21"/>
              <w:shd w:val="clear" w:color="auto" w:fill="auto"/>
              <w:spacing w:after="60" w:line="200" w:lineRule="exact"/>
            </w:pPr>
            <w:r>
              <w:rPr>
                <w:rStyle w:val="22"/>
                <w:color w:val="000000"/>
                <w:lang w:eastAsia="uk-UA"/>
              </w:rPr>
              <w:t>Одиниця</w:t>
            </w:r>
          </w:p>
          <w:p w:rsidR="008D742F" w:rsidRDefault="008D742F" w:rsidP="008D742F">
            <w:pPr>
              <w:pStyle w:val="21"/>
              <w:shd w:val="clear" w:color="auto" w:fill="auto"/>
              <w:spacing w:before="60" w:after="0" w:line="200" w:lineRule="exact"/>
            </w:pPr>
            <w:r>
              <w:rPr>
                <w:rStyle w:val="22"/>
                <w:color w:val="000000"/>
                <w:lang w:eastAsia="uk-UA"/>
              </w:rPr>
              <w:t>виміру</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Кількість</w:t>
            </w:r>
          </w:p>
        </w:tc>
      </w:tr>
      <w:tr w:rsidR="008D742F" w:rsidTr="008D742F">
        <w:tblPrEx>
          <w:tblCellMar>
            <w:top w:w="0" w:type="dxa"/>
            <w:left w:w="0" w:type="dxa"/>
            <w:bottom w:w="0" w:type="dxa"/>
            <w:right w:w="0" w:type="dxa"/>
          </w:tblCellMar>
        </w:tblPrEx>
        <w:trPr>
          <w:trHeight w:hRule="exact" w:val="235"/>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w:t>
            </w:r>
          </w:p>
        </w:tc>
        <w:tc>
          <w:tcPr>
            <w:tcW w:w="3057" w:type="pct"/>
            <w:shd w:val="clear" w:color="auto" w:fill="FFFFFF"/>
            <w:vAlign w:val="center"/>
          </w:tcPr>
          <w:p w:rsidR="008D742F" w:rsidRDefault="008D742F" w:rsidP="008D742F">
            <w:pPr>
              <w:pStyle w:val="21"/>
              <w:shd w:val="clear" w:color="auto" w:fill="auto"/>
              <w:spacing w:after="0" w:line="200" w:lineRule="exact"/>
              <w:jc w:val="left"/>
            </w:pPr>
            <w:r>
              <w:rPr>
                <w:rStyle w:val="22"/>
                <w:color w:val="000000"/>
                <w:lang w:eastAsia="uk-UA"/>
              </w:rPr>
              <w:t>2</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3</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4</w:t>
            </w:r>
          </w:p>
        </w:tc>
      </w:tr>
      <w:tr w:rsidR="008D742F" w:rsidTr="008D742F">
        <w:tblPrEx>
          <w:tblCellMar>
            <w:top w:w="0" w:type="dxa"/>
            <w:left w:w="0" w:type="dxa"/>
            <w:bottom w:w="0" w:type="dxa"/>
            <w:right w:w="0" w:type="dxa"/>
          </w:tblCellMar>
        </w:tblPrEx>
        <w:trPr>
          <w:trHeight w:hRule="exact" w:val="720"/>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(Демонтаж) Заповнення віконних прорізів готовими</w:t>
            </w:r>
            <w:r>
              <w:rPr>
                <w:rStyle w:val="22"/>
                <w:color w:val="000000"/>
                <w:lang w:eastAsia="uk-UA"/>
              </w:rPr>
              <w:br/>
              <w:t>блоками площею до 1 м2 з металопластику в кам'яних</w:t>
            </w:r>
            <w:r>
              <w:rPr>
                <w:rStyle w:val="22"/>
                <w:color w:val="000000"/>
                <w:lang w:eastAsia="uk-UA"/>
              </w:rPr>
              <w:br/>
              <w:t>стінах житлових і громадських будівель</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0,6</w:t>
            </w:r>
          </w:p>
        </w:tc>
      </w:tr>
      <w:tr w:rsidR="008D742F" w:rsidTr="008D742F">
        <w:tblPrEx>
          <w:tblCellMar>
            <w:top w:w="0" w:type="dxa"/>
            <w:left w:w="0" w:type="dxa"/>
            <w:bottom w:w="0" w:type="dxa"/>
            <w:right w:w="0" w:type="dxa"/>
          </w:tblCellMar>
        </w:tblPrEx>
        <w:trPr>
          <w:trHeight w:hRule="exact" w:val="696"/>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2</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(Демонтаж) Заповнення віконних прорізів готовими</w:t>
            </w:r>
            <w:r>
              <w:rPr>
                <w:rStyle w:val="22"/>
                <w:color w:val="000000"/>
                <w:lang w:eastAsia="uk-UA"/>
              </w:rPr>
              <w:br/>
              <w:t>блоками площею до 2 м2 з металопластику в кам'яних</w:t>
            </w:r>
            <w:r>
              <w:rPr>
                <w:rStyle w:val="22"/>
                <w:color w:val="000000"/>
                <w:lang w:eastAsia="uk-UA"/>
              </w:rPr>
              <w:br/>
              <w:t>стінах житлових і громадських будівель</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3,2</w:t>
            </w:r>
          </w:p>
        </w:tc>
      </w:tr>
      <w:tr w:rsidR="008D742F" w:rsidTr="008D742F">
        <w:tblPrEx>
          <w:tblCellMar>
            <w:top w:w="0" w:type="dxa"/>
            <w:left w:w="0" w:type="dxa"/>
            <w:bottom w:w="0" w:type="dxa"/>
            <w:right w:w="0" w:type="dxa"/>
          </w:tblCellMar>
        </w:tblPrEx>
        <w:trPr>
          <w:trHeight w:hRule="exact" w:val="691"/>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3</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(Демонтаж) Заповнення віконних прорізів готовими</w:t>
            </w:r>
            <w:r>
              <w:rPr>
                <w:rStyle w:val="22"/>
                <w:color w:val="000000"/>
                <w:lang w:eastAsia="uk-UA"/>
              </w:rPr>
              <w:br/>
              <w:t>блоками площею до 3 м2 з металопластику в кам’яних</w:t>
            </w:r>
            <w:r>
              <w:rPr>
                <w:rStyle w:val="22"/>
                <w:color w:val="000000"/>
                <w:lang w:eastAsia="uk-UA"/>
              </w:rPr>
              <w:br/>
              <w:t>стінах житлових і громадських будівель</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2,16</w:t>
            </w:r>
          </w:p>
        </w:tc>
      </w:tr>
      <w:tr w:rsidR="008D742F" w:rsidTr="008D742F">
        <w:tblPrEx>
          <w:tblCellMar>
            <w:top w:w="0" w:type="dxa"/>
            <w:left w:w="0" w:type="dxa"/>
            <w:bottom w:w="0" w:type="dxa"/>
            <w:right w:w="0" w:type="dxa"/>
          </w:tblCellMar>
        </w:tblPrEx>
        <w:trPr>
          <w:trHeight w:hRule="exact" w:val="691"/>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4</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(Демонтаж) Заповнення віконних прорізів готовими</w:t>
            </w:r>
            <w:r>
              <w:rPr>
                <w:rStyle w:val="22"/>
                <w:color w:val="000000"/>
                <w:lang w:eastAsia="uk-UA"/>
              </w:rPr>
              <w:br/>
              <w:t>блоками площею більше 3 м2 з металопластику в</w:t>
            </w:r>
            <w:r>
              <w:rPr>
                <w:rStyle w:val="22"/>
                <w:color w:val="000000"/>
                <w:lang w:eastAsia="uk-UA"/>
              </w:rPr>
              <w:br/>
              <w:t>кам'яних стінах житлових і громадських будівель</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71,84</w:t>
            </w:r>
          </w:p>
        </w:tc>
      </w:tr>
      <w:tr w:rsidR="008D742F" w:rsidTr="008D742F">
        <w:tblPrEx>
          <w:tblCellMar>
            <w:top w:w="0" w:type="dxa"/>
            <w:left w:w="0" w:type="dxa"/>
            <w:bottom w:w="0" w:type="dxa"/>
            <w:right w:w="0" w:type="dxa"/>
          </w:tblCellMar>
        </w:tblPrEx>
        <w:trPr>
          <w:trHeight w:hRule="exact" w:val="612"/>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5</w:t>
            </w:r>
          </w:p>
        </w:tc>
        <w:tc>
          <w:tcPr>
            <w:tcW w:w="3057" w:type="pct"/>
            <w:shd w:val="clear" w:color="auto" w:fill="FFFFFF"/>
            <w:vAlign w:val="center"/>
          </w:tcPr>
          <w:p w:rsidR="008D742F" w:rsidRDefault="008D742F" w:rsidP="008D742F">
            <w:pPr>
              <w:pStyle w:val="21"/>
              <w:shd w:val="clear" w:color="auto" w:fill="auto"/>
              <w:spacing w:before="0" w:after="0" w:line="200" w:lineRule="exact"/>
              <w:jc w:val="left"/>
            </w:pPr>
            <w:r>
              <w:rPr>
                <w:rStyle w:val="22"/>
                <w:color w:val="000000"/>
                <w:lang w:eastAsia="uk-UA"/>
              </w:rPr>
              <w:t>Знімання підвіконних дощок в кам'яних будівлях</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29,1</w:t>
            </w:r>
          </w:p>
        </w:tc>
      </w:tr>
      <w:tr w:rsidR="008D742F" w:rsidTr="008D742F">
        <w:tblPrEx>
          <w:tblCellMar>
            <w:top w:w="0" w:type="dxa"/>
            <w:left w:w="0" w:type="dxa"/>
            <w:bottom w:w="0" w:type="dxa"/>
            <w:right w:w="0" w:type="dxa"/>
          </w:tblCellMar>
        </w:tblPrEx>
        <w:trPr>
          <w:trHeight w:hRule="exact" w:val="848"/>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6</w:t>
            </w:r>
          </w:p>
        </w:tc>
        <w:tc>
          <w:tcPr>
            <w:tcW w:w="3057" w:type="pct"/>
            <w:shd w:val="clear" w:color="auto" w:fill="FFFFFF"/>
            <w:vAlign w:val="center"/>
          </w:tcPr>
          <w:p w:rsidR="008D742F" w:rsidRDefault="008D742F" w:rsidP="008D742F">
            <w:pPr>
              <w:pStyle w:val="21"/>
              <w:shd w:val="clear" w:color="auto" w:fill="auto"/>
              <w:spacing w:before="0" w:after="0" w:line="240" w:lineRule="exact"/>
              <w:jc w:val="left"/>
            </w:pPr>
            <w:r>
              <w:rPr>
                <w:rStyle w:val="22"/>
                <w:color w:val="000000"/>
                <w:lang w:eastAsia="uk-UA"/>
              </w:rPr>
              <w:t>Ремонт штукатурки внутрішніх стін по каменю та бетону</w:t>
            </w:r>
            <w:r>
              <w:rPr>
                <w:rStyle w:val="22"/>
                <w:color w:val="000000"/>
                <w:lang w:eastAsia="uk-UA"/>
              </w:rPr>
              <w:br/>
              <w:t>вапняним розчином, площа до 20 м2, товщина шару 20</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203</w:t>
            </w:r>
          </w:p>
        </w:tc>
      </w:tr>
      <w:tr w:rsidR="008D742F" w:rsidTr="008D742F">
        <w:tblPrEx>
          <w:tblCellMar>
            <w:top w:w="0" w:type="dxa"/>
            <w:left w:w="0" w:type="dxa"/>
            <w:bottom w:w="0" w:type="dxa"/>
            <w:right w:w="0" w:type="dxa"/>
          </w:tblCellMar>
        </w:tblPrEx>
        <w:trPr>
          <w:trHeight w:hRule="exact" w:val="1116"/>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7</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 xml:space="preserve">Просте фарбування </w:t>
            </w:r>
            <w:proofErr w:type="spellStart"/>
            <w:r>
              <w:rPr>
                <w:rStyle w:val="22"/>
                <w:color w:val="000000"/>
                <w:lang w:eastAsia="uk-UA"/>
              </w:rPr>
              <w:t>полівінілацетатними</w:t>
            </w:r>
            <w:proofErr w:type="spellEnd"/>
            <w:r>
              <w:rPr>
                <w:rStyle w:val="22"/>
                <w:color w:val="000000"/>
                <w:lang w:eastAsia="uk-UA"/>
              </w:rPr>
              <w:br/>
              <w:t>водоемульсійними сумішами стін по штукатурці та</w:t>
            </w:r>
            <w:r>
              <w:rPr>
                <w:rStyle w:val="22"/>
                <w:color w:val="000000"/>
                <w:lang w:eastAsia="uk-UA"/>
              </w:rPr>
              <w:br/>
              <w:t>збірних конструкціях, підготовлених під фарбування</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203</w:t>
            </w:r>
          </w:p>
        </w:tc>
      </w:tr>
      <w:tr w:rsidR="008D742F" w:rsidTr="008D742F">
        <w:tblPrEx>
          <w:tblCellMar>
            <w:top w:w="0" w:type="dxa"/>
            <w:left w:w="0" w:type="dxa"/>
            <w:bottom w:w="0" w:type="dxa"/>
            <w:right w:w="0" w:type="dxa"/>
          </w:tblCellMar>
        </w:tblPrEx>
        <w:trPr>
          <w:trHeight w:hRule="exact" w:val="719"/>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8</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Ремонт штукатурки стель по каменю та бетону</w:t>
            </w:r>
            <w:r>
              <w:rPr>
                <w:rStyle w:val="22"/>
                <w:color w:val="000000"/>
                <w:lang w:eastAsia="uk-UA"/>
              </w:rPr>
              <w:br/>
              <w:t>вапняним розчином, площа до 5 м2, товщина шару 20</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139,5</w:t>
            </w:r>
          </w:p>
        </w:tc>
      </w:tr>
      <w:tr w:rsidR="008D742F" w:rsidTr="008D742F">
        <w:tblPrEx>
          <w:tblCellMar>
            <w:top w:w="0" w:type="dxa"/>
            <w:left w:w="0" w:type="dxa"/>
            <w:bottom w:w="0" w:type="dxa"/>
            <w:right w:w="0" w:type="dxa"/>
          </w:tblCellMar>
        </w:tblPrEx>
        <w:trPr>
          <w:trHeight w:hRule="exact" w:val="1000"/>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9</w:t>
            </w:r>
          </w:p>
        </w:tc>
        <w:tc>
          <w:tcPr>
            <w:tcW w:w="3057" w:type="pct"/>
            <w:shd w:val="clear" w:color="auto" w:fill="FFFFFF"/>
            <w:vAlign w:val="center"/>
          </w:tcPr>
          <w:p w:rsidR="008D742F" w:rsidRDefault="008D742F" w:rsidP="008D742F">
            <w:pPr>
              <w:pStyle w:val="21"/>
              <w:shd w:val="clear" w:color="auto" w:fill="auto"/>
              <w:spacing w:before="0" w:after="0" w:line="226" w:lineRule="exact"/>
              <w:jc w:val="left"/>
            </w:pPr>
            <w:r>
              <w:rPr>
                <w:rStyle w:val="22"/>
                <w:color w:val="000000"/>
                <w:lang w:eastAsia="uk-UA"/>
              </w:rPr>
              <w:t>Улаштування підшивки горизонтальних поверхонь</w:t>
            </w:r>
            <w:r>
              <w:rPr>
                <w:rStyle w:val="22"/>
                <w:color w:val="000000"/>
                <w:lang w:eastAsia="uk-UA"/>
              </w:rPr>
              <w:br/>
              <w:t xml:space="preserve">підвісних стель </w:t>
            </w:r>
            <w:proofErr w:type="spellStart"/>
            <w:r>
              <w:rPr>
                <w:rStyle w:val="22"/>
                <w:color w:val="000000"/>
                <w:lang w:eastAsia="uk-UA"/>
              </w:rPr>
              <w:t>гіпсокартонними</w:t>
            </w:r>
            <w:proofErr w:type="spellEnd"/>
            <w:r>
              <w:rPr>
                <w:rStyle w:val="22"/>
                <w:color w:val="000000"/>
                <w:lang w:eastAsia="uk-UA"/>
              </w:rPr>
              <w:t xml:space="preserve"> або гіпсоволокнистими</w:t>
            </w:r>
            <w:r>
              <w:rPr>
                <w:rStyle w:val="22"/>
                <w:color w:val="000000"/>
                <w:lang w:eastAsia="uk-UA"/>
              </w:rPr>
              <w:br/>
              <w:t>листами.</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36</w:t>
            </w:r>
          </w:p>
        </w:tc>
      </w:tr>
      <w:tr w:rsidR="008D742F" w:rsidTr="008D742F">
        <w:tblPrEx>
          <w:tblCellMar>
            <w:top w:w="0" w:type="dxa"/>
            <w:left w:w="0" w:type="dxa"/>
            <w:bottom w:w="0" w:type="dxa"/>
            <w:right w:w="0" w:type="dxa"/>
          </w:tblCellMar>
        </w:tblPrEx>
        <w:trPr>
          <w:trHeight w:hRule="exact" w:val="561"/>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lastRenderedPageBreak/>
              <w:t>10</w:t>
            </w:r>
          </w:p>
        </w:tc>
        <w:tc>
          <w:tcPr>
            <w:tcW w:w="3057" w:type="pct"/>
            <w:shd w:val="clear" w:color="auto" w:fill="FFFFFF"/>
            <w:vAlign w:val="center"/>
          </w:tcPr>
          <w:p w:rsidR="008D742F" w:rsidRDefault="008D742F" w:rsidP="008D742F">
            <w:pPr>
              <w:pStyle w:val="21"/>
              <w:shd w:val="clear" w:color="auto" w:fill="auto"/>
              <w:spacing w:before="0" w:after="0" w:line="200" w:lineRule="exact"/>
              <w:jc w:val="left"/>
            </w:pPr>
            <w:r>
              <w:rPr>
                <w:rStyle w:val="22"/>
                <w:color w:val="000000"/>
                <w:lang w:eastAsia="uk-UA"/>
              </w:rPr>
              <w:t>Шпаклювання стель мінеральною шпаклівкою.</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36</w:t>
            </w:r>
          </w:p>
        </w:tc>
      </w:tr>
      <w:tr w:rsidR="008D742F" w:rsidTr="008D742F">
        <w:tblPrEx>
          <w:tblCellMar>
            <w:top w:w="0" w:type="dxa"/>
            <w:left w:w="0" w:type="dxa"/>
            <w:bottom w:w="0" w:type="dxa"/>
            <w:right w:w="0" w:type="dxa"/>
          </w:tblCellMar>
        </w:tblPrEx>
        <w:trPr>
          <w:trHeight w:hRule="exact" w:val="451"/>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11</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Додавати на 1 мм зміни товщини шпаклівки стартової до</w:t>
            </w:r>
            <w:r>
              <w:rPr>
                <w:rStyle w:val="22"/>
                <w:color w:val="000000"/>
                <w:lang w:eastAsia="uk-UA"/>
              </w:rPr>
              <w:br/>
              <w:t>норм 15-182-1, 15-182-2</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36</w:t>
            </w:r>
          </w:p>
        </w:tc>
      </w:tr>
      <w:tr w:rsidR="008D742F" w:rsidTr="008D742F">
        <w:tblPrEx>
          <w:tblCellMar>
            <w:top w:w="0" w:type="dxa"/>
            <w:left w:w="0" w:type="dxa"/>
            <w:bottom w:w="0" w:type="dxa"/>
            <w:right w:w="0" w:type="dxa"/>
          </w:tblCellMar>
        </w:tblPrEx>
        <w:trPr>
          <w:trHeight w:hRule="exact" w:val="710"/>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12</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 xml:space="preserve">Просте фарбування </w:t>
            </w:r>
            <w:proofErr w:type="spellStart"/>
            <w:r>
              <w:rPr>
                <w:rStyle w:val="22"/>
                <w:color w:val="000000"/>
                <w:lang w:eastAsia="uk-UA"/>
              </w:rPr>
              <w:t>полівінілацетатними</w:t>
            </w:r>
            <w:proofErr w:type="spellEnd"/>
            <w:r>
              <w:rPr>
                <w:rStyle w:val="22"/>
                <w:color w:val="000000"/>
                <w:lang w:eastAsia="uk-UA"/>
              </w:rPr>
              <w:br/>
              <w:t>водоемульсійними сумішами стель по штукатурці та</w:t>
            </w:r>
            <w:r>
              <w:rPr>
                <w:rStyle w:val="22"/>
                <w:color w:val="000000"/>
                <w:lang w:eastAsia="uk-UA"/>
              </w:rPr>
              <w:br/>
              <w:t>збірних конструкціях, підготовлених під фарбування</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175,5</w:t>
            </w:r>
          </w:p>
        </w:tc>
      </w:tr>
      <w:tr w:rsidR="008D742F" w:rsidTr="008D742F">
        <w:tblPrEx>
          <w:tblCellMar>
            <w:top w:w="0" w:type="dxa"/>
            <w:left w:w="0" w:type="dxa"/>
            <w:bottom w:w="0" w:type="dxa"/>
            <w:right w:w="0" w:type="dxa"/>
          </w:tblCellMar>
        </w:tblPrEx>
        <w:trPr>
          <w:trHeight w:hRule="exact" w:val="451"/>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13</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Розбирання покриттів покрівлі з хвилястих</w:t>
            </w:r>
            <w:r>
              <w:rPr>
                <w:rStyle w:val="22"/>
                <w:color w:val="000000"/>
                <w:lang w:eastAsia="uk-UA"/>
              </w:rPr>
              <w:br/>
              <w:t>азбестоцементних листів</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20</w:t>
            </w:r>
          </w:p>
        </w:tc>
      </w:tr>
      <w:tr w:rsidR="008D742F" w:rsidTr="008D742F">
        <w:tblPrEx>
          <w:tblCellMar>
            <w:top w:w="0" w:type="dxa"/>
            <w:left w:w="0" w:type="dxa"/>
            <w:bottom w:w="0" w:type="dxa"/>
            <w:right w:w="0" w:type="dxa"/>
          </w:tblCellMar>
        </w:tblPrEx>
        <w:trPr>
          <w:trHeight w:hRule="exact" w:val="696"/>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14</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Улаштування покриття з 8-хвильових 40/150</w:t>
            </w:r>
            <w:r>
              <w:rPr>
                <w:rStyle w:val="22"/>
                <w:color w:val="000000"/>
                <w:lang w:eastAsia="uk-UA"/>
              </w:rPr>
              <w:br/>
              <w:t>азбоцементних листів розміром 1750/1130 мм, товщина</w:t>
            </w:r>
            <w:r>
              <w:rPr>
                <w:rStyle w:val="22"/>
                <w:color w:val="000000"/>
                <w:lang w:eastAsia="uk-UA"/>
              </w:rPr>
              <w:br/>
              <w:t>5,8 мм</w:t>
            </w:r>
          </w:p>
        </w:tc>
        <w:tc>
          <w:tcPr>
            <w:tcW w:w="807"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м2</w:t>
            </w:r>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20</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Default="008D742F" w:rsidP="008D742F">
            <w:pPr>
              <w:pStyle w:val="21"/>
              <w:shd w:val="clear" w:color="auto" w:fill="auto"/>
              <w:spacing w:after="0" w:line="200" w:lineRule="exact"/>
              <w:ind w:left="260"/>
              <w:jc w:val="left"/>
            </w:pPr>
            <w:r>
              <w:rPr>
                <w:rStyle w:val="22"/>
                <w:color w:val="000000"/>
                <w:lang w:eastAsia="uk-UA"/>
              </w:rPr>
              <w:t>15</w:t>
            </w:r>
          </w:p>
        </w:tc>
        <w:tc>
          <w:tcPr>
            <w:tcW w:w="3057" w:type="pct"/>
            <w:shd w:val="clear" w:color="auto" w:fill="FFFFFF"/>
            <w:vAlign w:val="center"/>
          </w:tcPr>
          <w:p w:rsidR="008D742F" w:rsidRDefault="008D742F" w:rsidP="008D742F">
            <w:pPr>
              <w:pStyle w:val="21"/>
              <w:shd w:val="clear" w:color="auto" w:fill="auto"/>
              <w:spacing w:before="0" w:after="0"/>
              <w:jc w:val="left"/>
            </w:pPr>
            <w:r>
              <w:rPr>
                <w:rStyle w:val="22"/>
                <w:color w:val="000000"/>
                <w:lang w:eastAsia="uk-UA"/>
              </w:rPr>
              <w:t>Мурування окремих ділянок простих зовнішніх стін із</w:t>
            </w:r>
            <w:r>
              <w:rPr>
                <w:rStyle w:val="22"/>
                <w:color w:val="000000"/>
                <w:lang w:eastAsia="uk-UA"/>
              </w:rPr>
              <w:br/>
              <w:t>цегли</w:t>
            </w:r>
          </w:p>
        </w:tc>
        <w:tc>
          <w:tcPr>
            <w:tcW w:w="807" w:type="pct"/>
            <w:shd w:val="clear" w:color="auto" w:fill="FFFFFF"/>
            <w:vAlign w:val="center"/>
          </w:tcPr>
          <w:p w:rsidR="008D742F" w:rsidRDefault="008D742F" w:rsidP="008D742F">
            <w:pPr>
              <w:pStyle w:val="21"/>
              <w:shd w:val="clear" w:color="auto" w:fill="auto"/>
              <w:spacing w:after="0" w:line="200" w:lineRule="exact"/>
            </w:pPr>
            <w:proofErr w:type="spellStart"/>
            <w:r>
              <w:rPr>
                <w:rStyle w:val="22"/>
                <w:color w:val="000000"/>
                <w:lang w:eastAsia="uk-UA"/>
              </w:rPr>
              <w:t>мЗ</w:t>
            </w:r>
            <w:proofErr w:type="spellEnd"/>
          </w:p>
        </w:tc>
        <w:tc>
          <w:tcPr>
            <w:tcW w:w="805" w:type="pct"/>
            <w:shd w:val="clear" w:color="auto" w:fill="FFFFFF"/>
            <w:vAlign w:val="center"/>
          </w:tcPr>
          <w:p w:rsidR="008D742F" w:rsidRDefault="008D742F" w:rsidP="008D742F">
            <w:pPr>
              <w:pStyle w:val="21"/>
              <w:shd w:val="clear" w:color="auto" w:fill="auto"/>
              <w:spacing w:after="0" w:line="200" w:lineRule="exact"/>
            </w:pPr>
            <w:r>
              <w:rPr>
                <w:rStyle w:val="22"/>
                <w:color w:val="000000"/>
                <w:lang w:eastAsia="uk-UA"/>
              </w:rPr>
              <w:t>5,4</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16</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Заповнення віконних прорізів готовими блоками</w:t>
            </w:r>
            <w:r>
              <w:rPr>
                <w:rStyle w:val="22"/>
                <w:color w:val="000000"/>
                <w:lang w:eastAsia="uk-UA"/>
              </w:rPr>
              <w:br/>
              <w:t>площею до 1 м2 з металопластику в кам'яних стінах</w:t>
            </w:r>
            <w:r>
              <w:rPr>
                <w:rStyle w:val="22"/>
                <w:color w:val="000000"/>
                <w:lang w:eastAsia="uk-UA"/>
              </w:rPr>
              <w:br/>
              <w:t>житлових і громадських будівель</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м2</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0,6</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17</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Заповнення віконних прорізів готовими блоками</w:t>
            </w:r>
            <w:r>
              <w:rPr>
                <w:rStyle w:val="22"/>
                <w:color w:val="000000"/>
                <w:lang w:eastAsia="uk-UA"/>
              </w:rPr>
              <w:br/>
              <w:t>площею до 2 м2 з металопластику в кам'яних стінах</w:t>
            </w:r>
            <w:r>
              <w:rPr>
                <w:rStyle w:val="22"/>
                <w:color w:val="000000"/>
                <w:lang w:eastAsia="uk-UA"/>
              </w:rPr>
              <w:br/>
              <w:t>житлових і громадських будівель</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м2</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3,2</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18</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Заповнення віконних прорізів готовими блоками</w:t>
            </w:r>
            <w:r>
              <w:rPr>
                <w:rStyle w:val="22"/>
                <w:color w:val="000000"/>
                <w:lang w:eastAsia="uk-UA"/>
              </w:rPr>
              <w:br/>
              <w:t>площею до 3 м2 з металопластику в кам'яних стінах</w:t>
            </w:r>
            <w:r>
              <w:rPr>
                <w:rStyle w:val="22"/>
                <w:color w:val="000000"/>
                <w:lang w:eastAsia="uk-UA"/>
              </w:rPr>
              <w:br/>
              <w:t>житлових і громадських будівель</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м2</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2,16</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19</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Заповнення віконних прорізів готовими блоками</w:t>
            </w:r>
            <w:r>
              <w:rPr>
                <w:rStyle w:val="22"/>
                <w:color w:val="000000"/>
                <w:lang w:eastAsia="uk-UA"/>
              </w:rPr>
              <w:br/>
              <w:t>площею більше 3 м2 з металопластику в кам'яних стінах</w:t>
            </w:r>
            <w:r>
              <w:rPr>
                <w:rStyle w:val="22"/>
                <w:color w:val="000000"/>
                <w:lang w:eastAsia="uk-UA"/>
              </w:rPr>
              <w:br/>
              <w:t>житлових і громадських будівель</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м2</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71,84</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20</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Ремонт штукатурки зовнішніх прямолінійних укосів по</w:t>
            </w:r>
            <w:r>
              <w:rPr>
                <w:rStyle w:val="22"/>
                <w:color w:val="000000"/>
                <w:lang w:eastAsia="uk-UA"/>
              </w:rPr>
              <w:br/>
              <w:t>каменю та бетону цементно-вапняним розчином з землі</w:t>
            </w:r>
            <w:r>
              <w:rPr>
                <w:rStyle w:val="22"/>
                <w:color w:val="000000"/>
                <w:lang w:eastAsia="uk-UA"/>
              </w:rPr>
              <w:br/>
              <w:t>та риштувань</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м2</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16,8</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21</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 xml:space="preserve">Установлення пластикових підвіконних </w:t>
            </w:r>
            <w:proofErr w:type="spellStart"/>
            <w:r>
              <w:rPr>
                <w:rStyle w:val="22"/>
                <w:color w:val="000000"/>
                <w:lang w:eastAsia="uk-UA"/>
              </w:rPr>
              <w:t>дошок</w:t>
            </w:r>
            <w:proofErr w:type="spellEnd"/>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29,1</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22</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Улаштування з листової сталі підвіконних відливів</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29,1</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23</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Навішування водостічних труб, ринв, колін, відливів і</w:t>
            </w:r>
            <w:r>
              <w:rPr>
                <w:rStyle w:val="22"/>
                <w:color w:val="000000"/>
                <w:lang w:eastAsia="uk-UA"/>
              </w:rPr>
              <w:br/>
              <w:t>лійок з готових елементів</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м</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35,5</w:t>
            </w:r>
          </w:p>
        </w:tc>
      </w:tr>
      <w:tr w:rsidR="008D742F" w:rsidTr="008D742F">
        <w:tblPrEx>
          <w:tblCellMar>
            <w:top w:w="0" w:type="dxa"/>
            <w:left w:w="0" w:type="dxa"/>
            <w:bottom w:w="0" w:type="dxa"/>
            <w:right w:w="0" w:type="dxa"/>
          </w:tblCellMar>
        </w:tblPrEx>
        <w:trPr>
          <w:trHeight w:hRule="exact" w:val="76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24</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 xml:space="preserve">Готування важких </w:t>
            </w:r>
            <w:proofErr w:type="spellStart"/>
            <w:r>
              <w:rPr>
                <w:rStyle w:val="22"/>
                <w:color w:val="000000"/>
                <w:lang w:eastAsia="uk-UA"/>
              </w:rPr>
              <w:t>кладкових</w:t>
            </w:r>
            <w:proofErr w:type="spellEnd"/>
            <w:r>
              <w:rPr>
                <w:rStyle w:val="22"/>
                <w:color w:val="000000"/>
                <w:lang w:eastAsia="uk-UA"/>
              </w:rPr>
              <w:t xml:space="preserve"> цементних розчинів, марка</w:t>
            </w:r>
            <w:r>
              <w:rPr>
                <w:rStyle w:val="22"/>
                <w:color w:val="000000"/>
                <w:lang w:eastAsia="uk-UA"/>
              </w:rPr>
              <w:br/>
              <w:t>50</w:t>
            </w:r>
          </w:p>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Готування важких опоряджувальних цементних розчинів</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proofErr w:type="spellStart"/>
            <w:r>
              <w:rPr>
                <w:rStyle w:val="22"/>
                <w:color w:val="000000"/>
                <w:lang w:eastAsia="uk-UA"/>
              </w:rPr>
              <w:t>мЗ</w:t>
            </w:r>
            <w:proofErr w:type="spellEnd"/>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1,3</w:t>
            </w:r>
          </w:p>
        </w:tc>
      </w:tr>
      <w:tr w:rsidR="008D742F" w:rsidTr="008D742F">
        <w:tblPrEx>
          <w:tblCellMar>
            <w:top w:w="0" w:type="dxa"/>
            <w:left w:w="0" w:type="dxa"/>
            <w:bottom w:w="0" w:type="dxa"/>
            <w:right w:w="0" w:type="dxa"/>
          </w:tblCellMar>
        </w:tblPrEx>
        <w:trPr>
          <w:trHeight w:hRule="exact" w:val="842"/>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25</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color w:val="000000"/>
                <w:shd w:val="clear" w:color="auto" w:fill="FFFFFF"/>
                <w:lang w:eastAsia="uk-UA"/>
              </w:rPr>
              <w:t>Готування важки опоряджувальних цементних розчинів</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proofErr w:type="spellStart"/>
            <w:r>
              <w:rPr>
                <w:rStyle w:val="22"/>
                <w:color w:val="000000"/>
                <w:lang w:eastAsia="uk-UA"/>
              </w:rPr>
              <w:t>мЗ</w:t>
            </w:r>
            <w:proofErr w:type="spellEnd"/>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8,42</w:t>
            </w:r>
          </w:p>
        </w:tc>
      </w:tr>
      <w:tr w:rsidR="008D742F" w:rsidTr="008D742F">
        <w:tblPrEx>
          <w:tblCellMar>
            <w:top w:w="0" w:type="dxa"/>
            <w:left w:w="0" w:type="dxa"/>
            <w:bottom w:w="0" w:type="dxa"/>
            <w:right w:w="0" w:type="dxa"/>
          </w:tblCellMar>
        </w:tblPrEx>
        <w:trPr>
          <w:trHeight w:hRule="exact" w:val="854"/>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26</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 xml:space="preserve">Навантаження сміття екскаваторами на </w:t>
            </w:r>
            <w:proofErr w:type="spellStart"/>
            <w:r>
              <w:rPr>
                <w:rStyle w:val="22"/>
                <w:color w:val="000000"/>
                <w:lang w:eastAsia="uk-UA"/>
              </w:rPr>
              <w:t>автомобілі-</w:t>
            </w:r>
            <w:proofErr w:type="spellEnd"/>
            <w:r>
              <w:rPr>
                <w:rStyle w:val="22"/>
                <w:color w:val="000000"/>
                <w:lang w:eastAsia="uk-UA"/>
              </w:rPr>
              <w:br/>
              <w:t xml:space="preserve">самоскиди, місткість ковша екскаватора 0,25 </w:t>
            </w:r>
            <w:proofErr w:type="spellStart"/>
            <w:r>
              <w:rPr>
                <w:rStyle w:val="22"/>
                <w:color w:val="000000"/>
                <w:lang w:eastAsia="uk-UA"/>
              </w:rPr>
              <w:t>мЗ</w:t>
            </w:r>
            <w:proofErr w:type="spellEnd"/>
            <w:r>
              <w:rPr>
                <w:rStyle w:val="22"/>
                <w:color w:val="000000"/>
                <w:lang w:eastAsia="uk-UA"/>
              </w:rPr>
              <w:t>.</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т</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13,8</w:t>
            </w:r>
          </w:p>
        </w:tc>
      </w:tr>
      <w:tr w:rsidR="008D742F" w:rsidTr="008D742F">
        <w:tblPrEx>
          <w:tblCellMar>
            <w:top w:w="0" w:type="dxa"/>
            <w:left w:w="0" w:type="dxa"/>
            <w:bottom w:w="0" w:type="dxa"/>
            <w:right w:w="0" w:type="dxa"/>
          </w:tblCellMar>
        </w:tblPrEx>
        <w:trPr>
          <w:trHeight w:hRule="exact" w:val="490"/>
        </w:trPr>
        <w:tc>
          <w:tcPr>
            <w:tcW w:w="331" w:type="pct"/>
            <w:shd w:val="clear" w:color="auto" w:fill="FFFFFF"/>
            <w:vAlign w:val="center"/>
          </w:tcPr>
          <w:p w:rsidR="008D742F" w:rsidRPr="008D742F" w:rsidRDefault="008D742F" w:rsidP="008D742F">
            <w:pPr>
              <w:pStyle w:val="21"/>
              <w:shd w:val="clear" w:color="auto" w:fill="auto"/>
              <w:spacing w:after="0" w:line="200" w:lineRule="exact"/>
              <w:ind w:left="260"/>
              <w:jc w:val="left"/>
              <w:rPr>
                <w:color w:val="000000"/>
                <w:shd w:val="clear" w:color="auto" w:fill="FFFFFF"/>
                <w:lang w:eastAsia="uk-UA"/>
              </w:rPr>
            </w:pPr>
            <w:r>
              <w:rPr>
                <w:rStyle w:val="22"/>
                <w:color w:val="000000"/>
                <w:lang w:eastAsia="uk-UA"/>
              </w:rPr>
              <w:t>27</w:t>
            </w:r>
          </w:p>
        </w:tc>
        <w:tc>
          <w:tcPr>
            <w:tcW w:w="3057" w:type="pct"/>
            <w:shd w:val="clear" w:color="auto" w:fill="FFFFFF"/>
            <w:vAlign w:val="center"/>
          </w:tcPr>
          <w:p w:rsidR="008D742F" w:rsidRPr="008D742F" w:rsidRDefault="008D742F" w:rsidP="008D742F">
            <w:pPr>
              <w:pStyle w:val="21"/>
              <w:shd w:val="clear" w:color="auto" w:fill="auto"/>
              <w:spacing w:before="0" w:after="0"/>
              <w:jc w:val="left"/>
              <w:rPr>
                <w:color w:val="000000"/>
                <w:shd w:val="clear" w:color="auto" w:fill="FFFFFF"/>
                <w:lang w:eastAsia="uk-UA"/>
              </w:rPr>
            </w:pPr>
            <w:r>
              <w:rPr>
                <w:rStyle w:val="22"/>
                <w:color w:val="000000"/>
                <w:lang w:eastAsia="uk-UA"/>
              </w:rPr>
              <w:t>Перевезення сміття до 10 км</w:t>
            </w:r>
          </w:p>
        </w:tc>
        <w:tc>
          <w:tcPr>
            <w:tcW w:w="807"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т</w:t>
            </w:r>
          </w:p>
        </w:tc>
        <w:tc>
          <w:tcPr>
            <w:tcW w:w="805" w:type="pct"/>
            <w:shd w:val="clear" w:color="auto" w:fill="FFFFFF"/>
            <w:vAlign w:val="center"/>
          </w:tcPr>
          <w:p w:rsidR="008D742F" w:rsidRPr="008D742F" w:rsidRDefault="008D742F" w:rsidP="008D742F">
            <w:pPr>
              <w:pStyle w:val="21"/>
              <w:shd w:val="clear" w:color="auto" w:fill="auto"/>
              <w:spacing w:after="0" w:line="200" w:lineRule="exact"/>
              <w:rPr>
                <w:color w:val="000000"/>
                <w:shd w:val="clear" w:color="auto" w:fill="FFFFFF"/>
                <w:lang w:eastAsia="uk-UA"/>
              </w:rPr>
            </w:pPr>
            <w:r>
              <w:rPr>
                <w:rStyle w:val="22"/>
                <w:color w:val="000000"/>
                <w:lang w:eastAsia="uk-UA"/>
              </w:rPr>
              <w:t>13,8</w:t>
            </w:r>
          </w:p>
        </w:tc>
      </w:tr>
    </w:tbl>
    <w:p w:rsidR="00A3125E" w:rsidRDefault="00A3125E" w:rsidP="008D742F">
      <w:pPr>
        <w:rPr>
          <w:rFonts w:ascii="Times New Roman" w:eastAsia="Times New Roman" w:hAnsi="Times New Roman" w:cs="Times New Roman"/>
          <w:i/>
          <w:sz w:val="24"/>
          <w:szCs w:val="24"/>
        </w:rPr>
      </w:pPr>
    </w:p>
    <w:p w:rsidR="00296344" w:rsidRDefault="00296344" w:rsidP="00296344">
      <w:pPr>
        <w:autoSpaceDN w:val="0"/>
        <w:adjustRightInd w:val="0"/>
        <w:spacing w:after="0" w:line="240" w:lineRule="auto"/>
        <w:ind w:firstLine="720"/>
        <w:jc w:val="both"/>
        <w:rPr>
          <w:rFonts w:ascii="Times New Roman" w:hAnsi="Times New Roman" w:cs="Times New Roman"/>
          <w:bCs/>
        </w:rPr>
      </w:pPr>
      <w:r w:rsidRPr="00296344">
        <w:rPr>
          <w:rFonts w:ascii="Times New Roman" w:hAnsi="Times New Roman" w:cs="Times New Roman"/>
          <w:bCs/>
        </w:rPr>
        <w:t xml:space="preserve">Металопластикові </w:t>
      </w:r>
      <w:r>
        <w:rPr>
          <w:rFonts w:ascii="Times New Roman" w:hAnsi="Times New Roman" w:cs="Times New Roman"/>
          <w:bCs/>
        </w:rPr>
        <w:t>конструкції</w:t>
      </w:r>
      <w:r w:rsidRPr="00296344">
        <w:rPr>
          <w:rFonts w:ascii="Times New Roman" w:hAnsi="Times New Roman" w:cs="Times New Roman"/>
          <w:bCs/>
        </w:rPr>
        <w:t xml:space="preserve"> повинні відповідати вимогам щодо енергоефективності </w:t>
      </w:r>
      <w:r>
        <w:rPr>
          <w:rFonts w:ascii="Times New Roman" w:hAnsi="Times New Roman" w:cs="Times New Roman"/>
          <w:bCs/>
        </w:rPr>
        <w:t xml:space="preserve">віконних і дверних конструкцій. </w:t>
      </w:r>
    </w:p>
    <w:p w:rsidR="00D97576" w:rsidRPr="00D97576" w:rsidRDefault="00D97576" w:rsidP="00296344">
      <w:pPr>
        <w:autoSpaceDN w:val="0"/>
        <w:adjustRightInd w:val="0"/>
        <w:spacing w:after="0" w:line="240" w:lineRule="auto"/>
        <w:ind w:firstLine="720"/>
        <w:jc w:val="both"/>
        <w:rPr>
          <w:rFonts w:ascii="Times New Roman" w:hAnsi="Times New Roman" w:cs="Times New Roman"/>
          <w:bCs/>
        </w:rPr>
      </w:pPr>
      <w:r w:rsidRPr="00CE21DB">
        <w:rPr>
          <w:rFonts w:ascii="Times New Roman" w:hAnsi="Times New Roman" w:cs="Times New Roman"/>
          <w:bCs/>
        </w:rPr>
        <w:t xml:space="preserve">На </w:t>
      </w:r>
      <w:r w:rsidRPr="00D97576">
        <w:rPr>
          <w:rFonts w:ascii="Times New Roman" w:hAnsi="Times New Roman" w:cs="Times New Roman"/>
          <w:bCs/>
        </w:rPr>
        <w:t xml:space="preserve">підтвердження відповідності якості використовуваних  </w:t>
      </w:r>
      <w:proofErr w:type="spellStart"/>
      <w:r w:rsidRPr="00D97576">
        <w:rPr>
          <w:rFonts w:ascii="Times New Roman" w:hAnsi="Times New Roman" w:cs="Times New Roman"/>
          <w:bCs/>
        </w:rPr>
        <w:t>металопластикових</w:t>
      </w:r>
      <w:proofErr w:type="spellEnd"/>
      <w:r w:rsidRPr="00D97576">
        <w:rPr>
          <w:rFonts w:ascii="Times New Roman" w:hAnsi="Times New Roman" w:cs="Times New Roman"/>
          <w:bCs/>
        </w:rPr>
        <w:t xml:space="preserve"> конструкцій (вікна та двері та супутні товари) товару Учасник</w:t>
      </w:r>
      <w:r w:rsidR="00296344">
        <w:rPr>
          <w:rFonts w:ascii="Times New Roman" w:hAnsi="Times New Roman" w:cs="Times New Roman"/>
          <w:bCs/>
        </w:rPr>
        <w:t xml:space="preserve"> </w:t>
      </w:r>
      <w:r w:rsidRPr="00D97576">
        <w:rPr>
          <w:rFonts w:ascii="Times New Roman" w:hAnsi="Times New Roman" w:cs="Times New Roman"/>
          <w:bCs/>
        </w:rPr>
        <w:t xml:space="preserve"> подає в складі своєї тендерної пропозиції наступні документи:</w:t>
      </w:r>
    </w:p>
    <w:p w:rsidR="00D97576" w:rsidRPr="00D97576" w:rsidRDefault="00D97576" w:rsidP="00296344">
      <w:pPr>
        <w:autoSpaceDN w:val="0"/>
        <w:adjustRightInd w:val="0"/>
        <w:spacing w:after="0" w:line="240" w:lineRule="auto"/>
        <w:jc w:val="both"/>
        <w:rPr>
          <w:rFonts w:ascii="Times New Roman" w:hAnsi="Times New Roman" w:cs="Times New Roman"/>
        </w:rPr>
      </w:pPr>
      <w:r w:rsidRPr="00D97576">
        <w:rPr>
          <w:rFonts w:ascii="Times New Roman" w:hAnsi="Times New Roman" w:cs="Times New Roman"/>
          <w:bCs/>
        </w:rPr>
        <w:t xml:space="preserve">А) </w:t>
      </w:r>
      <w:r w:rsidRPr="00D97576">
        <w:rPr>
          <w:rFonts w:ascii="Times New Roman" w:hAnsi="Times New Roman" w:cs="Times New Roman"/>
        </w:rPr>
        <w:t xml:space="preserve">Висновок державної </w:t>
      </w:r>
      <w:proofErr w:type="spellStart"/>
      <w:r w:rsidRPr="00D97576">
        <w:rPr>
          <w:rFonts w:ascii="Times New Roman" w:hAnsi="Times New Roman" w:cs="Times New Roman"/>
        </w:rPr>
        <w:t>санітарної-епідологомічної</w:t>
      </w:r>
      <w:proofErr w:type="spellEnd"/>
      <w:r w:rsidRPr="00D97576">
        <w:rPr>
          <w:rFonts w:ascii="Times New Roman" w:hAnsi="Times New Roman" w:cs="Times New Roman"/>
        </w:rPr>
        <w:t xml:space="preserve"> експертизи на блоки віконні з однокамерними та двокамерними енергозберігаючими склопакетами; на пристрої поворотні, відкидні і поворотно-відкидні; на прокладки ущільнювальні; профілі </w:t>
      </w:r>
      <w:proofErr w:type="spellStart"/>
      <w:r w:rsidRPr="00D97576">
        <w:rPr>
          <w:rFonts w:ascii="Times New Roman" w:hAnsi="Times New Roman" w:cs="Times New Roman"/>
        </w:rPr>
        <w:t>полівінілхлоридні</w:t>
      </w:r>
      <w:proofErr w:type="spellEnd"/>
      <w:r w:rsidRPr="00D97576">
        <w:rPr>
          <w:rFonts w:ascii="Times New Roman" w:hAnsi="Times New Roman" w:cs="Times New Roman"/>
        </w:rPr>
        <w:t>. Якщо Учасник не являється власником вказаних висновків, він повинен надати в складі пропозиції гарантій лист від їх власника на використання висновків у тендері із зазначенням найменування Учасника та Замовника торгів.</w:t>
      </w:r>
    </w:p>
    <w:p w:rsidR="00D97576" w:rsidRPr="00D97576" w:rsidRDefault="00D97576" w:rsidP="00296344">
      <w:pPr>
        <w:autoSpaceDN w:val="0"/>
        <w:adjustRightInd w:val="0"/>
        <w:spacing w:after="0" w:line="240" w:lineRule="auto"/>
        <w:jc w:val="both"/>
        <w:rPr>
          <w:rFonts w:ascii="Times New Roman" w:hAnsi="Times New Roman" w:cs="Times New Roman"/>
        </w:rPr>
      </w:pPr>
      <w:r w:rsidRPr="00D97576">
        <w:rPr>
          <w:rFonts w:ascii="Times New Roman" w:hAnsi="Times New Roman" w:cs="Times New Roman"/>
        </w:rPr>
        <w:t>Б) Протокол випробувань на Металопластикові вікна,  що виданий Учаснику торгів;</w:t>
      </w:r>
    </w:p>
    <w:p w:rsidR="00D97576" w:rsidRDefault="00D97576" w:rsidP="00296344">
      <w:pPr>
        <w:autoSpaceDN w:val="0"/>
        <w:adjustRightInd w:val="0"/>
        <w:spacing w:after="0" w:line="240" w:lineRule="auto"/>
        <w:jc w:val="both"/>
        <w:rPr>
          <w:rFonts w:ascii="Times New Roman" w:hAnsi="Times New Roman" w:cs="Times New Roman"/>
        </w:rPr>
      </w:pPr>
      <w:r w:rsidRPr="00D97576">
        <w:rPr>
          <w:rFonts w:ascii="Times New Roman" w:hAnsi="Times New Roman" w:cs="Times New Roman"/>
        </w:rPr>
        <w:t xml:space="preserve">В) Сертифікати відповідності на пристрої поворотні, відкидні і поворотно-відкидні; на прокладки ущільнювальні; профілі </w:t>
      </w:r>
      <w:proofErr w:type="spellStart"/>
      <w:r w:rsidRPr="00D97576">
        <w:rPr>
          <w:rFonts w:ascii="Times New Roman" w:hAnsi="Times New Roman" w:cs="Times New Roman"/>
        </w:rPr>
        <w:t>полівінілхлоридні</w:t>
      </w:r>
      <w:proofErr w:type="spellEnd"/>
      <w:r w:rsidRPr="00D97576">
        <w:rPr>
          <w:rFonts w:ascii="Times New Roman" w:hAnsi="Times New Roman" w:cs="Times New Roman"/>
        </w:rPr>
        <w:t>. Якщо Учасник не являється власником вказаних висновків, він повинен надати в складі пропозиції гарантій лист від їх власника на використання висновків у тендері із зазначенням найменування Учасника та Замовника торгів.</w:t>
      </w:r>
    </w:p>
    <w:p w:rsidR="00296344" w:rsidRPr="00D97576" w:rsidRDefault="00296344" w:rsidP="00296344">
      <w:pPr>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 Сертифікат </w:t>
      </w:r>
      <w:r w:rsidRPr="00296344">
        <w:rPr>
          <w:rFonts w:ascii="Times New Roman" w:hAnsi="Times New Roman" w:cs="Times New Roman"/>
        </w:rPr>
        <w:t>якості виробництва</w:t>
      </w:r>
      <w:r>
        <w:rPr>
          <w:rFonts w:ascii="Times New Roman" w:hAnsi="Times New Roman" w:cs="Times New Roman"/>
        </w:rPr>
        <w:t xml:space="preserve"> </w:t>
      </w:r>
      <w:r>
        <w:rPr>
          <w:rFonts w:ascii="Tahoma" w:hAnsi="Tahoma" w:cs="Tahoma"/>
          <w:color w:val="000000"/>
          <w:sz w:val="20"/>
          <w:szCs w:val="20"/>
          <w:shd w:val="clear" w:color="auto" w:fill="FFFFFF"/>
        </w:rPr>
        <w:t>ISO 9001:2015</w:t>
      </w:r>
    </w:p>
    <w:p w:rsidR="00D97576" w:rsidRPr="002158F8" w:rsidRDefault="00D97576">
      <w:pPr>
        <w:shd w:val="clear" w:color="auto" w:fill="FFFFFF"/>
        <w:spacing w:after="0" w:line="240" w:lineRule="auto"/>
        <w:ind w:firstLine="460"/>
        <w:jc w:val="both"/>
        <w:rPr>
          <w:rFonts w:ascii="Times New Roman" w:eastAsia="Times New Roman" w:hAnsi="Times New Roman" w:cs="Times New Roman"/>
          <w:b/>
          <w:i/>
        </w:rPr>
      </w:pPr>
    </w:p>
    <w:p w:rsidR="00D97576" w:rsidRPr="002158F8" w:rsidRDefault="00D97576">
      <w:pPr>
        <w:shd w:val="clear" w:color="auto" w:fill="FFFFFF"/>
        <w:spacing w:after="0" w:line="240" w:lineRule="auto"/>
        <w:ind w:firstLine="460"/>
        <w:jc w:val="both"/>
        <w:rPr>
          <w:rFonts w:ascii="Times New Roman" w:eastAsia="Times New Roman" w:hAnsi="Times New Roman" w:cs="Times New Roman"/>
          <w:b/>
          <w:i/>
        </w:rPr>
      </w:pPr>
    </w:p>
    <w:p w:rsidR="00D97576" w:rsidRPr="002158F8" w:rsidRDefault="002158F8">
      <w:pPr>
        <w:shd w:val="clear" w:color="auto" w:fill="FFFFFF"/>
        <w:spacing w:after="0" w:line="240" w:lineRule="auto"/>
        <w:ind w:firstLine="460"/>
        <w:jc w:val="both"/>
        <w:rPr>
          <w:rFonts w:ascii="Times New Roman" w:eastAsia="Times New Roman" w:hAnsi="Times New Roman" w:cs="Times New Roman"/>
          <w:b/>
          <w:i/>
        </w:rPr>
      </w:pPr>
      <w:r w:rsidRPr="002158F8">
        <w:rPr>
          <w:rFonts w:ascii="Times New Roman" w:eastAsia="Times New Roman" w:hAnsi="Times New Roman" w:cs="Times New Roman"/>
          <w:b/>
          <w:i/>
        </w:rPr>
        <w:lastRenderedPageBreak/>
        <w:t>«З умовами та обсягами надання послуг, їх технічних та якісних характеристик ознайомлені, з вимогами погоджуємося»</w:t>
      </w:r>
    </w:p>
    <w:p w:rsidR="00C537C1" w:rsidRDefault="00C537C1">
      <w:pPr>
        <w:shd w:val="clear" w:color="auto" w:fill="FFFFFF"/>
        <w:spacing w:after="0" w:line="240" w:lineRule="auto"/>
        <w:ind w:firstLine="460"/>
        <w:jc w:val="both"/>
        <w:rPr>
          <w:rFonts w:ascii="Times New Roman" w:eastAsia="Times New Roman" w:hAnsi="Times New Roman" w:cs="Times New Roman"/>
          <w:b/>
          <w:i/>
        </w:rPr>
      </w:pPr>
    </w:p>
    <w:p w:rsidR="002158F8" w:rsidRPr="002158F8" w:rsidRDefault="002158F8">
      <w:pPr>
        <w:shd w:val="clear" w:color="auto" w:fill="FFFFFF"/>
        <w:spacing w:after="0" w:line="240" w:lineRule="auto"/>
        <w:ind w:firstLine="460"/>
        <w:jc w:val="both"/>
        <w:rPr>
          <w:rFonts w:ascii="Times New Roman" w:eastAsia="Times New Roman" w:hAnsi="Times New Roman" w:cs="Times New Roman"/>
          <w:b/>
          <w:i/>
        </w:rPr>
      </w:pPr>
      <w:r w:rsidRPr="002158F8">
        <w:rPr>
          <w:rFonts w:ascii="Times New Roman" w:eastAsia="Times New Roman" w:hAnsi="Times New Roman" w:cs="Times New Roman"/>
          <w:b/>
          <w:i/>
        </w:rPr>
        <w:t>Дата _________________</w:t>
      </w:r>
    </w:p>
    <w:p w:rsidR="00C537C1" w:rsidRDefault="00C537C1">
      <w:pPr>
        <w:shd w:val="clear" w:color="auto" w:fill="FFFFFF"/>
        <w:spacing w:after="0" w:line="240" w:lineRule="auto"/>
        <w:ind w:firstLine="460"/>
        <w:jc w:val="both"/>
        <w:rPr>
          <w:rFonts w:ascii="Times New Roman" w:eastAsia="Times New Roman" w:hAnsi="Times New Roman" w:cs="Times New Roman"/>
          <w:b/>
          <w:i/>
        </w:rPr>
      </w:pPr>
    </w:p>
    <w:p w:rsidR="00C537C1" w:rsidRDefault="00C537C1">
      <w:pPr>
        <w:shd w:val="clear" w:color="auto" w:fill="FFFFFF"/>
        <w:spacing w:after="0" w:line="240" w:lineRule="auto"/>
        <w:ind w:firstLine="460"/>
        <w:jc w:val="both"/>
        <w:rPr>
          <w:rFonts w:ascii="Times New Roman" w:eastAsia="Times New Roman" w:hAnsi="Times New Roman" w:cs="Times New Roman"/>
          <w:b/>
          <w:i/>
        </w:rPr>
      </w:pPr>
    </w:p>
    <w:p w:rsidR="002158F8" w:rsidRPr="002158F8" w:rsidRDefault="002158F8">
      <w:pPr>
        <w:shd w:val="clear" w:color="auto" w:fill="FFFFFF"/>
        <w:spacing w:after="0" w:line="240" w:lineRule="auto"/>
        <w:ind w:firstLine="460"/>
        <w:jc w:val="both"/>
        <w:rPr>
          <w:rFonts w:ascii="Times New Roman" w:eastAsia="Times New Roman" w:hAnsi="Times New Roman" w:cs="Times New Roman"/>
          <w:b/>
          <w:i/>
        </w:rPr>
      </w:pPr>
      <w:r w:rsidRPr="002158F8">
        <w:rPr>
          <w:rFonts w:ascii="Times New Roman" w:eastAsia="Times New Roman" w:hAnsi="Times New Roman" w:cs="Times New Roman"/>
          <w:b/>
          <w:i/>
        </w:rPr>
        <w:t>Найменування виконавця (підрядника)</w:t>
      </w:r>
      <w:r w:rsidR="00C537C1">
        <w:rPr>
          <w:rFonts w:ascii="Times New Roman" w:eastAsia="Times New Roman" w:hAnsi="Times New Roman" w:cs="Times New Roman"/>
          <w:b/>
          <w:i/>
        </w:rPr>
        <w:t>:</w:t>
      </w:r>
    </w:p>
    <w:p w:rsidR="00C537C1" w:rsidRDefault="00C537C1">
      <w:pPr>
        <w:shd w:val="clear" w:color="auto" w:fill="FFFFFF"/>
        <w:spacing w:after="0" w:line="240" w:lineRule="auto"/>
        <w:ind w:firstLine="460"/>
        <w:jc w:val="both"/>
        <w:rPr>
          <w:rFonts w:ascii="Times New Roman" w:eastAsia="Times New Roman" w:hAnsi="Times New Roman" w:cs="Times New Roman"/>
          <w:b/>
          <w:i/>
        </w:rPr>
      </w:pPr>
    </w:p>
    <w:p w:rsidR="00C537C1" w:rsidRDefault="00C537C1">
      <w:pPr>
        <w:shd w:val="clear" w:color="auto" w:fill="FFFFFF"/>
        <w:spacing w:after="0" w:line="240" w:lineRule="auto"/>
        <w:ind w:firstLine="460"/>
        <w:jc w:val="both"/>
        <w:rPr>
          <w:rFonts w:ascii="Times New Roman" w:eastAsia="Times New Roman" w:hAnsi="Times New Roman" w:cs="Times New Roman"/>
          <w:b/>
          <w:i/>
        </w:rPr>
      </w:pPr>
    </w:p>
    <w:p w:rsidR="00C537C1" w:rsidRDefault="00C537C1">
      <w:pPr>
        <w:shd w:val="clear" w:color="auto" w:fill="FFFFFF"/>
        <w:spacing w:after="0" w:line="240" w:lineRule="auto"/>
        <w:ind w:firstLine="460"/>
        <w:jc w:val="both"/>
        <w:rPr>
          <w:rFonts w:ascii="Times New Roman" w:eastAsia="Times New Roman" w:hAnsi="Times New Roman" w:cs="Times New Roman"/>
          <w:b/>
          <w:i/>
        </w:rPr>
      </w:pPr>
    </w:p>
    <w:p w:rsidR="002158F8" w:rsidRPr="002158F8" w:rsidRDefault="002158F8">
      <w:pPr>
        <w:shd w:val="clear" w:color="auto" w:fill="FFFFFF"/>
        <w:spacing w:after="0" w:line="240" w:lineRule="auto"/>
        <w:ind w:firstLine="460"/>
        <w:jc w:val="both"/>
        <w:rPr>
          <w:rFonts w:ascii="Times New Roman" w:eastAsia="Times New Roman" w:hAnsi="Times New Roman" w:cs="Times New Roman"/>
          <w:b/>
          <w:i/>
        </w:rPr>
      </w:pPr>
      <w:r w:rsidRPr="002158F8">
        <w:rPr>
          <w:rFonts w:ascii="Times New Roman" w:eastAsia="Times New Roman" w:hAnsi="Times New Roman" w:cs="Times New Roman"/>
          <w:b/>
          <w:i/>
        </w:rPr>
        <w:t xml:space="preserve">Підпис (прізвище, ім’я, посада) </w:t>
      </w:r>
    </w:p>
    <w:sectPr w:rsidR="002158F8" w:rsidRPr="00215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73BD"/>
    <w:multiLevelType w:val="multilevel"/>
    <w:tmpl w:val="BD24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3125E"/>
    <w:rsid w:val="002158F8"/>
    <w:rsid w:val="00296344"/>
    <w:rsid w:val="003D0152"/>
    <w:rsid w:val="008D742F"/>
    <w:rsid w:val="00A3125E"/>
    <w:rsid w:val="00B06C86"/>
    <w:rsid w:val="00C537C1"/>
    <w:rsid w:val="00D975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20">
    <w:name w:val="Основной текст (2)_"/>
    <w:basedOn w:val="a0"/>
    <w:link w:val="21"/>
    <w:uiPriority w:val="99"/>
    <w:locked/>
    <w:rsid w:val="003D0152"/>
    <w:rPr>
      <w:rFonts w:ascii="Arial" w:hAnsi="Arial" w:cs="Arial"/>
      <w:sz w:val="19"/>
      <w:szCs w:val="19"/>
      <w:shd w:val="clear" w:color="auto" w:fill="FFFFFF"/>
    </w:rPr>
  </w:style>
  <w:style w:type="character" w:customStyle="1" w:styleId="22">
    <w:name w:val="Основной текст (2)"/>
    <w:basedOn w:val="20"/>
    <w:uiPriority w:val="99"/>
    <w:rsid w:val="003D0152"/>
    <w:rPr>
      <w:rFonts w:ascii="Arial" w:hAnsi="Arial" w:cs="Arial"/>
      <w:sz w:val="19"/>
      <w:szCs w:val="19"/>
      <w:shd w:val="clear" w:color="auto" w:fill="FFFFFF"/>
    </w:rPr>
  </w:style>
  <w:style w:type="paragraph" w:customStyle="1" w:styleId="21">
    <w:name w:val="Основной текст (2)1"/>
    <w:basedOn w:val="a"/>
    <w:link w:val="20"/>
    <w:uiPriority w:val="99"/>
    <w:rsid w:val="003D0152"/>
    <w:pPr>
      <w:widowControl w:val="0"/>
      <w:shd w:val="clear" w:color="auto" w:fill="FFFFFF"/>
      <w:spacing w:before="240" w:after="180" w:line="230" w:lineRule="exact"/>
      <w:jc w:val="center"/>
    </w:pPr>
    <w:rPr>
      <w:rFonts w:ascii="Arial" w:hAnsi="Arial" w:cs="Arial"/>
      <w:sz w:val="19"/>
      <w:szCs w:val="19"/>
    </w:rPr>
  </w:style>
  <w:style w:type="character" w:customStyle="1" w:styleId="24pt">
    <w:name w:val="Основной текст (2) + 4 pt"/>
    <w:aliases w:val="Курсив1"/>
    <w:basedOn w:val="20"/>
    <w:uiPriority w:val="99"/>
    <w:rsid w:val="003D0152"/>
    <w:rPr>
      <w:rFonts w:ascii="Arial" w:hAnsi="Arial" w:cs="Arial"/>
      <w:i/>
      <w:iCs/>
      <w:sz w:val="8"/>
      <w:szCs w:val="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20">
    <w:name w:val="Основной текст (2)_"/>
    <w:basedOn w:val="a0"/>
    <w:link w:val="21"/>
    <w:uiPriority w:val="99"/>
    <w:locked/>
    <w:rsid w:val="003D0152"/>
    <w:rPr>
      <w:rFonts w:ascii="Arial" w:hAnsi="Arial" w:cs="Arial"/>
      <w:sz w:val="19"/>
      <w:szCs w:val="19"/>
      <w:shd w:val="clear" w:color="auto" w:fill="FFFFFF"/>
    </w:rPr>
  </w:style>
  <w:style w:type="character" w:customStyle="1" w:styleId="22">
    <w:name w:val="Основной текст (2)"/>
    <w:basedOn w:val="20"/>
    <w:uiPriority w:val="99"/>
    <w:rsid w:val="003D0152"/>
    <w:rPr>
      <w:rFonts w:ascii="Arial" w:hAnsi="Arial" w:cs="Arial"/>
      <w:sz w:val="19"/>
      <w:szCs w:val="19"/>
      <w:shd w:val="clear" w:color="auto" w:fill="FFFFFF"/>
    </w:rPr>
  </w:style>
  <w:style w:type="paragraph" w:customStyle="1" w:styleId="21">
    <w:name w:val="Основной текст (2)1"/>
    <w:basedOn w:val="a"/>
    <w:link w:val="20"/>
    <w:uiPriority w:val="99"/>
    <w:rsid w:val="003D0152"/>
    <w:pPr>
      <w:widowControl w:val="0"/>
      <w:shd w:val="clear" w:color="auto" w:fill="FFFFFF"/>
      <w:spacing w:before="240" w:after="180" w:line="230" w:lineRule="exact"/>
      <w:jc w:val="center"/>
    </w:pPr>
    <w:rPr>
      <w:rFonts w:ascii="Arial" w:hAnsi="Arial" w:cs="Arial"/>
      <w:sz w:val="19"/>
      <w:szCs w:val="19"/>
    </w:rPr>
  </w:style>
  <w:style w:type="character" w:customStyle="1" w:styleId="24pt">
    <w:name w:val="Основной текст (2) + 4 pt"/>
    <w:aliases w:val="Курсив1"/>
    <w:basedOn w:val="20"/>
    <w:uiPriority w:val="99"/>
    <w:rsid w:val="003D0152"/>
    <w:rPr>
      <w:rFonts w:ascii="Arial" w:hAnsi="Arial" w:cs="Arial"/>
      <w:i/>
      <w:iCs/>
      <w:sz w:val="8"/>
      <w:szCs w:val="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7</cp:revision>
  <dcterms:created xsi:type="dcterms:W3CDTF">2022-08-17T14:44:00Z</dcterms:created>
  <dcterms:modified xsi:type="dcterms:W3CDTF">2023-11-15T08:35:00Z</dcterms:modified>
</cp:coreProperties>
</file>