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8772D6">
        <w:rPr>
          <w:rFonts w:ascii="Times New Roman" w:eastAsia="Times New Roman" w:hAnsi="Times New Roman" w:cs="Tahoma"/>
          <w:color w:val="000000"/>
          <w:kern w:val="3"/>
          <w:sz w:val="24"/>
          <w:szCs w:val="24"/>
          <w:lang w:eastAsia="zh-CN" w:bidi="hi-IN"/>
        </w:rPr>
        <w:t>10</w:t>
      </w:r>
      <w:r>
        <w:rPr>
          <w:rFonts w:ascii="Times New Roman" w:eastAsia="Times New Roman" w:hAnsi="Times New Roman" w:cs="Tahoma"/>
          <w:color w:val="000000"/>
          <w:kern w:val="3"/>
          <w:sz w:val="24"/>
          <w:szCs w:val="24"/>
          <w:lang w:eastAsia="zh-CN" w:bidi="hi-IN"/>
        </w:rPr>
        <w:t>.0</w:t>
      </w:r>
      <w:r w:rsidR="00832259">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FE1588" w:rsidRDefault="001731F6" w:rsidP="00FE1588">
      <w:pPr>
        <w:widowControl w:val="0"/>
        <w:suppressAutoHyphens/>
        <w:autoSpaceDN w:val="0"/>
        <w:spacing w:after="0" w:line="240" w:lineRule="auto"/>
        <w:jc w:val="center"/>
        <w:textAlignment w:val="baseline"/>
        <w:rPr>
          <w:rFonts w:ascii="Times New Roman" w:hAnsi="Times New Roman"/>
          <w:b/>
          <w:color w:val="000000"/>
          <w:sz w:val="28"/>
          <w:szCs w:val="28"/>
        </w:rPr>
      </w:pPr>
      <w:r>
        <w:rPr>
          <w:rFonts w:ascii="Times New Roman" w:eastAsia="Times New Roman" w:hAnsi="Times New Roman" w:cs="Times New Roman"/>
          <w:color w:val="000000"/>
          <w:sz w:val="24"/>
          <w:szCs w:val="24"/>
        </w:rPr>
        <w:t> </w:t>
      </w:r>
      <w:r w:rsidR="00FE1588" w:rsidRPr="003F2059">
        <w:rPr>
          <w:rFonts w:ascii="Times New Roman" w:hAnsi="Times New Roman"/>
          <w:b/>
          <w:bCs/>
          <w:sz w:val="28"/>
          <w:szCs w:val="28"/>
        </w:rPr>
        <w:t xml:space="preserve">ДК 021:2015 </w:t>
      </w:r>
      <w:r w:rsidR="00FE1588">
        <w:rPr>
          <w:rFonts w:ascii="Times New Roman" w:hAnsi="Times New Roman"/>
          <w:b/>
          <w:bCs/>
          <w:sz w:val="28"/>
          <w:szCs w:val="28"/>
        </w:rPr>
        <w:t>-</w:t>
      </w:r>
      <w:r w:rsidR="00FE1588" w:rsidRPr="00E82157">
        <w:rPr>
          <w:rFonts w:ascii="Times New Roman" w:hAnsi="Times New Roman"/>
          <w:b/>
          <w:color w:val="000000"/>
          <w:sz w:val="28"/>
          <w:szCs w:val="28"/>
        </w:rPr>
        <w:t>33690000-3 Лікарські засоби різні</w:t>
      </w:r>
      <w:r w:rsidR="00FE1588">
        <w:rPr>
          <w:rFonts w:ascii="Times New Roman" w:hAnsi="Times New Roman"/>
          <w:b/>
          <w:color w:val="000000"/>
          <w:sz w:val="28"/>
          <w:szCs w:val="28"/>
        </w:rPr>
        <w:t xml:space="preserve">.  </w:t>
      </w:r>
    </w:p>
    <w:p w:rsidR="00FE1588" w:rsidRPr="004E5D14" w:rsidRDefault="00FE1588" w:rsidP="00FE158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hAnsi="Times New Roman"/>
          <w:b/>
          <w:color w:val="000000"/>
          <w:sz w:val="28"/>
          <w:szCs w:val="28"/>
        </w:rPr>
        <w:t xml:space="preserve"> </w:t>
      </w:r>
      <w:r w:rsidRPr="004E5D14">
        <w:rPr>
          <w:rFonts w:ascii="Times New Roman" w:hAnsi="Times New Roman"/>
          <w:b/>
          <w:sz w:val="28"/>
          <w:szCs w:val="28"/>
        </w:rPr>
        <w:t>Лабораторні реактиви</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Кононенко Світлана Володимирівна, бухгалтер, уповноважена особа,  тел</w:t>
            </w:r>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1588" w:rsidRPr="00FE1588" w:rsidRDefault="00FE1588" w:rsidP="00FE1588">
            <w:pPr>
              <w:widowControl w:val="0"/>
              <w:suppressAutoHyphens/>
              <w:autoSpaceDN w:val="0"/>
              <w:jc w:val="both"/>
              <w:textAlignment w:val="baseline"/>
              <w:rPr>
                <w:rFonts w:ascii="Times New Roman" w:hAnsi="Times New Roman"/>
                <w:color w:val="000000"/>
                <w:sz w:val="24"/>
                <w:szCs w:val="24"/>
              </w:rPr>
            </w:pPr>
            <w:r w:rsidRPr="00FE1588">
              <w:rPr>
                <w:rFonts w:ascii="Times New Roman" w:hAnsi="Times New Roman"/>
                <w:bCs/>
                <w:sz w:val="24"/>
                <w:szCs w:val="24"/>
              </w:rPr>
              <w:t>ДК 021:2015 -</w:t>
            </w:r>
            <w:r w:rsidRPr="00FE1588">
              <w:rPr>
                <w:rFonts w:ascii="Times New Roman" w:hAnsi="Times New Roman"/>
                <w:color w:val="000000"/>
                <w:sz w:val="24"/>
                <w:szCs w:val="24"/>
              </w:rPr>
              <w:t xml:space="preserve">33690000-3 Лікарські засоби різні.  </w:t>
            </w:r>
          </w:p>
          <w:p w:rsidR="00FE1588" w:rsidRPr="00FE1588" w:rsidRDefault="00FE1588" w:rsidP="00FE1588">
            <w:pPr>
              <w:widowControl w:val="0"/>
              <w:suppressAutoHyphens/>
              <w:autoSpaceDN w:val="0"/>
              <w:jc w:val="both"/>
              <w:textAlignment w:val="baseline"/>
              <w:rPr>
                <w:rFonts w:ascii="Times New Roman" w:eastAsia="Times New Roman" w:hAnsi="Times New Roman"/>
                <w:bCs/>
                <w:color w:val="000000"/>
                <w:kern w:val="3"/>
                <w:sz w:val="24"/>
                <w:szCs w:val="24"/>
                <w:lang w:eastAsia="zh-CN" w:bidi="hi-IN"/>
              </w:rPr>
            </w:pPr>
            <w:r w:rsidRPr="00FE1588">
              <w:rPr>
                <w:rFonts w:ascii="Times New Roman" w:hAnsi="Times New Roman"/>
                <w:color w:val="000000"/>
                <w:sz w:val="24"/>
                <w:szCs w:val="24"/>
              </w:rPr>
              <w:t xml:space="preserve"> </w:t>
            </w:r>
            <w:r w:rsidRPr="00FE1588">
              <w:rPr>
                <w:rFonts w:ascii="Times New Roman" w:hAnsi="Times New Roman"/>
                <w:sz w:val="24"/>
                <w:szCs w:val="24"/>
              </w:rPr>
              <w:t>Лабораторні реактиви</w:t>
            </w:r>
          </w:p>
          <w:p w:rsidR="0017389C" w:rsidRPr="001731F6" w:rsidRDefault="0017389C" w:rsidP="001731F6">
            <w:pPr>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D10DF0">
              <w:rPr>
                <w:rFonts w:ascii="Times New Roman" w:eastAsia="Times New Roman" w:hAnsi="Times New Roman" w:cs="Times New Roman"/>
                <w:color w:val="000000"/>
                <w:sz w:val="24"/>
                <w:szCs w:val="24"/>
              </w:rPr>
              <w:t>28</w:t>
            </w:r>
            <w:r w:rsidR="00BC4B02">
              <w:rPr>
                <w:rFonts w:ascii="Times New Roman" w:eastAsia="Times New Roman" w:hAnsi="Times New Roman" w:cs="Times New Roman"/>
                <w:color w:val="000000"/>
                <w:sz w:val="24"/>
                <w:szCs w:val="24"/>
              </w:rPr>
              <w:t xml:space="preserve"> найменуван</w:t>
            </w:r>
            <w:r w:rsidR="00D10DF0">
              <w:rPr>
                <w:rFonts w:ascii="Times New Roman" w:eastAsia="Times New Roman" w:hAnsi="Times New Roman" w:cs="Times New Roman"/>
                <w:color w:val="000000"/>
                <w:sz w:val="24"/>
                <w:szCs w:val="24"/>
              </w:rPr>
              <w:t>ь</w:t>
            </w:r>
            <w:r w:rsidR="00BC4B02">
              <w:rPr>
                <w:rFonts w:ascii="Times New Roman" w:eastAsia="Times New Roman" w:hAnsi="Times New Roman" w:cs="Times New Roman"/>
                <w:color w:val="000000"/>
                <w:sz w:val="24"/>
                <w:szCs w:val="24"/>
              </w:rPr>
              <w:t xml:space="preserve">; </w:t>
            </w:r>
            <w:r w:rsidR="00D10DF0">
              <w:rPr>
                <w:rFonts w:ascii="Times New Roman" w:eastAsia="Times New Roman" w:hAnsi="Times New Roman" w:cs="Times New Roman"/>
                <w:color w:val="000000"/>
                <w:sz w:val="24"/>
                <w:szCs w:val="24"/>
              </w:rPr>
              <w:t>332</w:t>
            </w:r>
            <w:r w:rsidR="0066393C">
              <w:rPr>
                <w:rFonts w:ascii="Times New Roman" w:eastAsia="Times New Roman" w:hAnsi="Times New Roman" w:cs="Times New Roman"/>
                <w:color w:val="000000"/>
                <w:sz w:val="24"/>
                <w:szCs w:val="24"/>
                <w:lang w:val="ru-RU"/>
              </w:rPr>
              <w:t xml:space="preserve"> </w:t>
            </w:r>
            <w:r w:rsidR="00BC4B02">
              <w:rPr>
                <w:rFonts w:ascii="Times New Roman" w:eastAsia="Times New Roman" w:hAnsi="Times New Roman" w:cs="Times New Roman"/>
                <w:color w:val="000000"/>
                <w:sz w:val="24"/>
                <w:szCs w:val="24"/>
                <w:lang w:val="ru-RU"/>
              </w:rPr>
              <w:t>од. виміру</w:t>
            </w:r>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A07545"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5691B" w:rsidRPr="0085691B" w:rsidRDefault="0085691B" w:rsidP="0085691B">
            <w:pPr>
              <w:jc w:val="both"/>
              <w:rPr>
                <w:rFonts w:ascii="Times New Roman" w:eastAsia="Times New Roman" w:hAnsi="Times New Roman" w:cs="Times New Roman"/>
                <w:sz w:val="24"/>
                <w:szCs w:val="24"/>
              </w:rPr>
            </w:pPr>
            <w:r w:rsidRPr="0085691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lastRenderedPageBreak/>
              <w:t>Усі звернення автоматично оприлюднюються в електронній системі закупівель без ідентифікації особи, яка звернулася до замовника. </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t>Замовник повинен </w:t>
            </w:r>
            <w:r w:rsidRPr="0085691B">
              <w:rPr>
                <w:rFonts w:ascii="Times New Roman" w:eastAsia="Times New Roman" w:hAnsi="Times New Roman" w:cs="Times New Roman"/>
                <w:b/>
                <w:bCs/>
                <w:i/>
                <w:iCs/>
                <w:sz w:val="24"/>
                <w:szCs w:val="24"/>
                <w:lang w:val="ru-RU"/>
              </w:rPr>
              <w:t>протягом трьох днів</w:t>
            </w:r>
            <w:r w:rsidRPr="0085691B">
              <w:rPr>
                <w:rFonts w:ascii="Times New Roman" w:eastAsia="Times New Roman" w:hAnsi="Times New Roman" w:cs="Times New Roman"/>
                <w:sz w:val="24"/>
                <w:szCs w:val="24"/>
                <w:lang w:val="ru-RU"/>
              </w:rPr>
              <w:t> з </w:t>
            </w:r>
            <w:r w:rsidRPr="0085691B">
              <w:rPr>
                <w:rFonts w:ascii="Times New Roman" w:eastAsia="Times New Roman" w:hAnsi="Times New Roman" w:cs="Times New Roman"/>
                <w:b/>
                <w:bCs/>
                <w:i/>
                <w:iCs/>
                <w:sz w:val="24"/>
                <w:szCs w:val="24"/>
                <w:lang w:val="ru-RU"/>
              </w:rPr>
              <w:t>дня їх оприлюднення</w:t>
            </w:r>
            <w:r w:rsidRPr="0085691B">
              <w:rPr>
                <w:rFonts w:ascii="Times New Roman" w:eastAsia="Times New Roman" w:hAnsi="Times New Roman" w:cs="Times New Roman"/>
                <w:sz w:val="24"/>
                <w:szCs w:val="24"/>
                <w:lang w:val="ru-RU"/>
              </w:rPr>
              <w:t> надати відповідь на звернення та оприлюднити його в електронній системі закупівель.</w:t>
            </w:r>
          </w:p>
          <w:p w:rsidR="0085691B" w:rsidRPr="0085691B" w:rsidRDefault="0085691B" w:rsidP="0085691B">
            <w:pPr>
              <w:jc w:val="both"/>
              <w:rPr>
                <w:rFonts w:ascii="Times New Roman" w:eastAsia="Times New Roman" w:hAnsi="Times New Roman" w:cs="Times New Roman"/>
                <w:sz w:val="24"/>
                <w:szCs w:val="24"/>
                <w:lang w:val="ru-RU"/>
              </w:rPr>
            </w:pPr>
            <w:r w:rsidRPr="0085691B">
              <w:rPr>
                <w:rFonts w:ascii="Times New Roman" w:eastAsia="Times New Roman" w:hAnsi="Times New Roman" w:cs="Times New Roman"/>
                <w:sz w:val="24"/>
                <w:szCs w:val="24"/>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5691B">
              <w:rPr>
                <w:rFonts w:ascii="Times New Roman" w:eastAsia="Times New Roman" w:hAnsi="Times New Roman" w:cs="Times New Roman"/>
                <w:b/>
                <w:bCs/>
                <w:i/>
                <w:iCs/>
                <w:sz w:val="24"/>
                <w:szCs w:val="24"/>
                <w:lang w:val="ru-RU"/>
              </w:rPr>
              <w:t>не менше ніж на чотири дні.</w:t>
            </w:r>
          </w:p>
          <w:p w:rsidR="0017389C" w:rsidRDefault="0017389C">
            <w:pPr>
              <w:widowControl w:val="0"/>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5691B">
              <w:rPr>
                <w:rFonts w:ascii="Times New Roman" w:eastAsia="Times New Roman" w:hAnsi="Times New Roman" w:cs="Times New Roman"/>
                <w:b/>
                <w:bCs/>
                <w:i/>
                <w:iCs/>
                <w:sz w:val="24"/>
                <w:szCs w:val="24"/>
                <w:lang w:val="ru-RU"/>
              </w:rPr>
              <w:t>не менше чотирьох днів.</w:t>
            </w:r>
          </w:p>
          <w:p w:rsidR="0085691B" w:rsidRPr="0085691B"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7389C" w:rsidRPr="00612E24" w:rsidRDefault="0085691B" w:rsidP="009932D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85691B">
              <w:rPr>
                <w:rFonts w:ascii="Times New Roman" w:eastAsia="Times New Roman" w:hAnsi="Times New Roman" w:cs="Times New Roman"/>
                <w:sz w:val="24"/>
                <w:szCs w:val="24"/>
                <w:lang w:val="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 xml:space="preserve">кт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1731F6">
              <w:rPr>
                <w:rFonts w:ascii="Times New Roman" w:eastAsia="Times New Roman" w:hAnsi="Times New Roman" w:cs="Times New Roman"/>
                <w:color w:val="000000"/>
                <w:sz w:val="24"/>
                <w:szCs w:val="24"/>
              </w:rPr>
              <w:lastRenderedPageBreak/>
              <w:t>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1444E" w:rsidRPr="0001444E" w:rsidRDefault="0001444E" w:rsidP="0001444E">
            <w:pPr>
              <w:widowControl w:val="0"/>
              <w:ind w:right="120"/>
              <w:jc w:val="both"/>
              <w:rPr>
                <w:rFonts w:ascii="Times New Roman" w:eastAsia="Times New Roman" w:hAnsi="Times New Roman" w:cs="Times New Roman"/>
                <w:b/>
                <w:sz w:val="24"/>
                <w:szCs w:val="24"/>
              </w:rPr>
            </w:pPr>
            <w:r w:rsidRPr="0001444E">
              <w:rPr>
                <w:rFonts w:ascii="Times New Roman" w:eastAsia="Times New Roman" w:hAnsi="Times New Roman" w:cs="Times New Roman"/>
                <w:b/>
                <w:sz w:val="24"/>
                <w:szCs w:val="24"/>
              </w:rPr>
              <w:t xml:space="preserve">Підстави, визначені пунктом </w:t>
            </w:r>
            <w:r w:rsidRPr="0001444E">
              <w:rPr>
                <w:rFonts w:ascii="Times New Roman" w:eastAsia="Times New Roman" w:hAnsi="Times New Roman" w:cs="Times New Roman"/>
                <w:b/>
                <w:sz w:val="24"/>
                <w:szCs w:val="24"/>
                <w:highlight w:val="white"/>
              </w:rPr>
              <w:t xml:space="preserve">47 </w:t>
            </w:r>
            <w:r w:rsidRPr="0001444E">
              <w:rPr>
                <w:rFonts w:ascii="Times New Roman" w:eastAsia="Times New Roman" w:hAnsi="Times New Roman" w:cs="Times New Roman"/>
                <w:b/>
                <w:sz w:val="24"/>
                <w:szCs w:val="24"/>
              </w:rPr>
              <w:t>Особливостей.</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1444E">
              <w:rPr>
                <w:rFonts w:ascii="Times New Roman" w:eastAsia="Times New Roman" w:hAnsi="Times New Roman" w:cs="Times New Roman"/>
                <w:sz w:val="24"/>
                <w:szCs w:val="24"/>
                <w:lang w:val="ru-RU"/>
              </w:rPr>
              <w:t>в будь</w:t>
            </w:r>
            <w:proofErr w:type="gramEnd"/>
            <w:r w:rsidRPr="0001444E">
              <w:rPr>
                <w:rFonts w:ascii="Times New Roman" w:eastAsia="Times New Roman" w:hAnsi="Times New Roman" w:cs="Times New Roman"/>
                <w:sz w:val="24"/>
                <w:szCs w:val="24"/>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1444E" w:rsidRPr="0001444E" w:rsidRDefault="0001444E" w:rsidP="0001444E">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1444E">
              <w:rPr>
                <w:rFonts w:ascii="Times New Roman" w:eastAsia="Times New Roman" w:hAnsi="Times New Roman" w:cs="Times New Roman"/>
                <w:sz w:val="24"/>
                <w:szCs w:val="24"/>
                <w:lang w:val="ru-RU"/>
              </w:rPr>
              <w:lastRenderedPageBreak/>
              <w:t>пов’язаного з використанням дитячої праці чи будь-якими формами торгівлі людьми.</w:t>
            </w:r>
          </w:p>
          <w:p w:rsidR="0017389C" w:rsidRPr="0011725D" w:rsidRDefault="0001444E" w:rsidP="0011725D">
            <w:pPr>
              <w:jc w:val="both"/>
              <w:rPr>
                <w:rFonts w:ascii="Times New Roman" w:eastAsia="Times New Roman" w:hAnsi="Times New Roman" w:cs="Times New Roman"/>
                <w:sz w:val="24"/>
                <w:szCs w:val="24"/>
                <w:lang w:val="ru-RU"/>
              </w:rPr>
            </w:pPr>
            <w:r w:rsidRPr="0001444E">
              <w:rPr>
                <w:rFonts w:ascii="Times New Roman" w:eastAsia="Times New Roman" w:hAnsi="Times New Roman" w:cs="Times New Roman"/>
                <w:sz w:val="24"/>
                <w:szCs w:val="24"/>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11725D">
              <w:rPr>
                <w:rFonts w:ascii="Times New Roman" w:eastAsia="Times New Roman" w:hAnsi="Times New Roman" w:cs="Times New Roman"/>
                <w:sz w:val="24"/>
                <w:szCs w:val="24"/>
                <w:lang w:val="ru-RU"/>
              </w:rPr>
              <w:t>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C4B02">
              <w:rPr>
                <w:rFonts w:ascii="Times New Roman" w:eastAsia="Times New Roman" w:hAnsi="Times New Roman" w:cs="Times New Roman"/>
                <w:color w:val="000000"/>
                <w:sz w:val="24"/>
                <w:szCs w:val="24"/>
              </w:rPr>
              <w:t>1</w:t>
            </w:r>
            <w:r w:rsidR="004C3B00">
              <w:rPr>
                <w:rFonts w:ascii="Times New Roman" w:eastAsia="Times New Roman" w:hAnsi="Times New Roman" w:cs="Times New Roman"/>
                <w:color w:val="000000"/>
                <w:sz w:val="24"/>
                <w:szCs w:val="24"/>
              </w:rPr>
              <w:t>8</w:t>
            </w:r>
            <w:r w:rsidR="00BC4B02">
              <w:rPr>
                <w:rFonts w:ascii="Times New Roman" w:eastAsia="Times New Roman" w:hAnsi="Times New Roman" w:cs="Times New Roman"/>
                <w:color w:val="000000"/>
                <w:sz w:val="24"/>
                <w:szCs w:val="24"/>
              </w:rPr>
              <w:t>.0</w:t>
            </w:r>
            <w:r w:rsidR="004C3B00">
              <w:rPr>
                <w:rFonts w:ascii="Times New Roman" w:eastAsia="Times New Roman" w:hAnsi="Times New Roman" w:cs="Times New Roman"/>
                <w:color w:val="000000"/>
                <w:sz w:val="24"/>
                <w:szCs w:val="24"/>
              </w:rPr>
              <w:t>4</w:t>
            </w:r>
            <w:bookmarkStart w:id="7" w:name="_GoBack"/>
            <w:bookmarkEnd w:id="7"/>
            <w:r w:rsidR="00BC4B02">
              <w:rPr>
                <w:rFonts w:ascii="Times New Roman" w:eastAsia="Times New Roman" w:hAnsi="Times New Roman" w:cs="Times New Roman"/>
                <w:color w:val="000000"/>
                <w:sz w:val="24"/>
                <w:szCs w:val="24"/>
              </w:rPr>
              <w:t>.2024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588B" w:rsidRPr="008D588B" w:rsidRDefault="00051664" w:rsidP="008D588B">
            <w:pPr>
              <w:jc w:val="both"/>
              <w:rPr>
                <w:rFonts w:ascii="Times New Roman" w:eastAsia="Times New Roman" w:hAnsi="Times New Roman" w:cs="Times New Roman"/>
                <w:sz w:val="24"/>
                <w:szCs w:val="24"/>
                <w:lang w:val="ru-RU"/>
              </w:rPr>
            </w:pPr>
            <w:r>
              <w:rPr>
                <w:rFonts w:ascii="Times New Roman" w:eastAsia="Times New Roman" w:hAnsi="Times New Roman" w:cs="Times New Roman"/>
                <w:b/>
                <w:bCs/>
                <w:i/>
                <w:iCs/>
                <w:sz w:val="24"/>
                <w:szCs w:val="24"/>
                <w:lang w:val="ru-RU"/>
              </w:rPr>
              <w:t xml:space="preserve">      </w:t>
            </w:r>
            <w:r w:rsidR="008D588B">
              <w:rPr>
                <w:rFonts w:ascii="Times New Roman" w:eastAsia="Times New Roman" w:hAnsi="Times New Roman" w:cs="Times New Roman"/>
                <w:b/>
                <w:bCs/>
                <w:i/>
                <w:iCs/>
                <w:sz w:val="24"/>
                <w:szCs w:val="24"/>
                <w:lang w:val="ru-RU"/>
              </w:rPr>
              <w:t>З</w:t>
            </w:r>
            <w:r w:rsidR="008D588B" w:rsidRPr="008D588B">
              <w:rPr>
                <w:rFonts w:ascii="Times New Roman" w:eastAsia="Times New Roman" w:hAnsi="Times New Roman" w:cs="Times New Roman"/>
                <w:b/>
                <w:bCs/>
                <w:i/>
                <w:iCs/>
                <w:sz w:val="24"/>
                <w:szCs w:val="24"/>
                <w:lang w:val="ru-RU"/>
              </w:rPr>
              <w:t>амовник відхиляє тендерну пропозицію із зазначенням аргументації в електронній системі закупівель у разі, коли:</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1) учасник процедури закупівлі:</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підпадає під підстави, встановлені пунктом 47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2) тендерна пропозиція:</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8D588B">
              <w:rPr>
                <w:rFonts w:ascii="Times New Roman" w:eastAsia="Times New Roman" w:hAnsi="Times New Roman" w:cs="Times New Roman"/>
                <w:sz w:val="24"/>
                <w:szCs w:val="24"/>
                <w:lang w:val="ru-RU"/>
              </w:rPr>
              <w:t>до пункту</w:t>
            </w:r>
            <w:proofErr w:type="gramEnd"/>
            <w:r w:rsidRPr="008D588B">
              <w:rPr>
                <w:rFonts w:ascii="Times New Roman" w:eastAsia="Times New Roman" w:hAnsi="Times New Roman" w:cs="Times New Roman"/>
                <w:sz w:val="24"/>
                <w:szCs w:val="24"/>
                <w:lang w:val="ru-RU"/>
              </w:rPr>
              <w:t xml:space="preserve"> 43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такою, строк дії якої закінчився;</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8D588B">
              <w:rPr>
                <w:rFonts w:ascii="Times New Roman" w:eastAsia="Times New Roman" w:hAnsi="Times New Roman" w:cs="Times New Roman"/>
                <w:sz w:val="24"/>
                <w:szCs w:val="24"/>
                <w:lang w:val="ru-RU"/>
              </w:rPr>
              <w:t>до абзацу</w:t>
            </w:r>
            <w:proofErr w:type="gramEnd"/>
            <w:r w:rsidRPr="008D588B">
              <w:rPr>
                <w:rFonts w:ascii="Times New Roman" w:eastAsia="Times New Roman" w:hAnsi="Times New Roman" w:cs="Times New Roman"/>
                <w:sz w:val="24"/>
                <w:szCs w:val="24"/>
                <w:lang w:val="ru-RU"/>
              </w:rPr>
              <w:t xml:space="preserve"> першого частини третьої статті 22 Закону;</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3) переможець процедури закупівлі:</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b/>
                <w:bCs/>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588B" w:rsidRPr="008D588B" w:rsidRDefault="00051664" w:rsidP="008D588B">
            <w:pPr>
              <w:jc w:val="both"/>
              <w:rPr>
                <w:rFonts w:ascii="Times New Roman" w:eastAsia="Times New Roman" w:hAnsi="Times New Roman" w:cs="Times New Roman"/>
                <w:sz w:val="24"/>
                <w:szCs w:val="24"/>
                <w:lang w:val="ru-RU"/>
              </w:rPr>
            </w:pPr>
            <w:r>
              <w:rPr>
                <w:rFonts w:ascii="Times New Roman" w:eastAsia="Times New Roman" w:hAnsi="Times New Roman" w:cs="Times New Roman"/>
                <w:b/>
                <w:bCs/>
                <w:i/>
                <w:iCs/>
                <w:sz w:val="24"/>
                <w:szCs w:val="24"/>
                <w:lang w:val="ru-RU"/>
              </w:rPr>
              <w:t xml:space="preserve">          </w:t>
            </w:r>
            <w:r w:rsidR="008D588B" w:rsidRPr="008D588B">
              <w:rPr>
                <w:rFonts w:ascii="Times New Roman" w:eastAsia="Times New Roman" w:hAnsi="Times New Roman" w:cs="Times New Roman"/>
                <w:b/>
                <w:bCs/>
                <w:i/>
                <w:iCs/>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b/>
                <w:bCs/>
                <w:sz w:val="24"/>
                <w:szCs w:val="24"/>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w:t>
            </w:r>
            <w:r w:rsidRPr="008D588B">
              <w:rPr>
                <w:rFonts w:ascii="Times New Roman" w:eastAsia="Times New Roman" w:hAnsi="Times New Roman" w:cs="Times New Roman"/>
                <w:b/>
                <w:bCs/>
                <w:sz w:val="24"/>
                <w:szCs w:val="24"/>
                <w:lang w:val="ru-RU"/>
              </w:rPr>
              <w:lastRenderedPageBreak/>
              <w:t>завданих збитків. Якщо замовник вважає таке підтвердження достатнім, тендерна пропозиція такого учасника не може бути відхилена.</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588B" w:rsidRPr="008D588B" w:rsidRDefault="008D588B" w:rsidP="008D588B">
            <w:pPr>
              <w:jc w:val="both"/>
              <w:rPr>
                <w:rFonts w:ascii="Times New Roman" w:eastAsia="Times New Roman" w:hAnsi="Times New Roman" w:cs="Times New Roman"/>
                <w:sz w:val="24"/>
                <w:szCs w:val="24"/>
                <w:lang w:val="ru-RU"/>
              </w:rPr>
            </w:pPr>
            <w:r w:rsidRPr="008D588B">
              <w:rPr>
                <w:rFonts w:ascii="Times New Roman" w:eastAsia="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7389C" w:rsidRDefault="0017389C">
            <w:pPr>
              <w:jc w:val="both"/>
              <w:rPr>
                <w:rFonts w:ascii="Times New Roman" w:eastAsia="Times New Roman" w:hAnsi="Times New Roman" w:cs="Times New Roman"/>
                <w:sz w:val="24"/>
                <w:szCs w:val="24"/>
                <w:highlight w:val="white"/>
              </w:rPr>
            </w:pP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206DDD" w:rsidRDefault="0099140A" w:rsidP="00206DDD">
      <w:pPr>
        <w:pStyle w:val="a6"/>
        <w:numPr>
          <w:ilvl w:val="0"/>
          <w:numId w:val="5"/>
        </w:numPr>
        <w:spacing w:before="20" w:after="20" w:line="240" w:lineRule="auto"/>
        <w:jc w:val="both"/>
        <w:rPr>
          <w:rFonts w:ascii="Times New Roman" w:eastAsia="Times New Roman" w:hAnsi="Times New Roman" w:cs="Times New Roman"/>
          <w:b/>
          <w:sz w:val="24"/>
          <w:szCs w:val="24"/>
          <w:highlight w:val="white"/>
        </w:rPr>
      </w:pPr>
      <w:r w:rsidRPr="00206DDD">
        <w:rPr>
          <w:rFonts w:ascii="Times New Roman" w:eastAsia="Times New Roman" w:hAnsi="Times New Roman" w:cs="Times New Roman"/>
          <w:b/>
          <w:color w:val="000000"/>
          <w:sz w:val="24"/>
          <w:szCs w:val="24"/>
        </w:rPr>
        <w:t xml:space="preserve">Підтвердження відповідності УЧАСНИКА </w:t>
      </w:r>
      <w:r w:rsidRPr="00206DD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06DDD">
        <w:rPr>
          <w:rFonts w:ascii="Times New Roman" w:eastAsia="Times New Roman" w:hAnsi="Times New Roman" w:cs="Times New Roman"/>
          <w:b/>
          <w:sz w:val="24"/>
          <w:szCs w:val="24"/>
          <w:highlight w:val="white"/>
        </w:rPr>
        <w:t>м у пункті 47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w:t>
      </w:r>
      <w:r w:rsidRPr="00206DDD">
        <w:rPr>
          <w:rFonts w:ascii="Times New Roman" w:eastAsia="Times New Roman" w:hAnsi="Times New Roman" w:cs="Times New Roman"/>
          <w:sz w:val="24"/>
          <w:szCs w:val="24"/>
          <w:lang w:val="ru-RU"/>
        </w:rPr>
        <w:t> </w:t>
      </w:r>
      <w:r w:rsidRPr="00206DDD">
        <w:rPr>
          <w:rFonts w:ascii="Times New Roman" w:eastAsia="Times New Roman" w:hAnsi="Times New Roman" w:cs="Times New Roman"/>
          <w:sz w:val="24"/>
          <w:szCs w:val="24"/>
        </w:rPr>
        <w:t xml:space="preserve">(крім підпунктів 1 і 7 цього пункту), шляхом самостійного декларування </w:t>
      </w:r>
      <w:r w:rsidRPr="00206DDD">
        <w:rPr>
          <w:rFonts w:ascii="Times New Roman" w:eastAsia="Times New Roman" w:hAnsi="Times New Roman" w:cs="Times New Roman"/>
          <w:sz w:val="24"/>
          <w:szCs w:val="24"/>
        </w:rPr>
        <w:lastRenderedPageBreak/>
        <w:t>відсутності таких підстав в електронній системі закупівель під час подання тендерної пропозиції.</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206DDD">
        <w:rPr>
          <w:rFonts w:ascii="Times New Roman" w:eastAsia="Times New Roman" w:hAnsi="Times New Roman" w:cs="Times New Roman"/>
          <w:i/>
          <w:iCs/>
          <w:sz w:val="24"/>
          <w:szCs w:val="24"/>
        </w:rPr>
        <w:t>У разі,</w:t>
      </w:r>
      <w:r w:rsidRPr="00206DDD">
        <w:rPr>
          <w:rFonts w:ascii="Times New Roman" w:eastAsia="Times New Roman" w:hAnsi="Times New Roman" w:cs="Times New Roman"/>
          <w:i/>
          <w:iCs/>
          <w:sz w:val="24"/>
          <w:szCs w:val="24"/>
          <w:lang w:val="ru-RU"/>
        </w:rPr>
        <w:t> </w:t>
      </w:r>
      <w:r w:rsidRPr="00206DDD">
        <w:rPr>
          <w:rFonts w:ascii="Times New Roman" w:eastAsia="Times New Roman" w:hAnsi="Times New Roman" w:cs="Times New Roman"/>
          <w:i/>
          <w:iCs/>
          <w:sz w:val="24"/>
          <w:szCs w:val="24"/>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06DDD" w:rsidRPr="00206DDD" w:rsidRDefault="00206DDD" w:rsidP="00206DDD">
      <w:pPr>
        <w:pStyle w:val="a6"/>
        <w:spacing w:before="20" w:after="20" w:line="240" w:lineRule="auto"/>
        <w:jc w:val="both"/>
        <w:rPr>
          <w:rFonts w:ascii="Times New Roman" w:eastAsia="Times New Roman" w:hAnsi="Times New Roman" w:cs="Times New Roman"/>
          <w:b/>
          <w:sz w:val="24"/>
          <w:szCs w:val="24"/>
          <w:highlight w:val="white"/>
        </w:rPr>
      </w:pPr>
    </w:p>
    <w:p w:rsidR="0099140A" w:rsidRPr="00206DDD" w:rsidRDefault="0099140A" w:rsidP="00206DDD">
      <w:pPr>
        <w:pStyle w:val="a6"/>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06DD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06DDD">
        <w:rPr>
          <w:rFonts w:ascii="Times New Roman" w:eastAsia="Times New Roman" w:hAnsi="Times New Roman" w:cs="Times New Roman"/>
          <w:b/>
          <w:sz w:val="24"/>
          <w:szCs w:val="24"/>
        </w:rPr>
        <w:t>визначеним у пун</w:t>
      </w:r>
      <w:r w:rsidRPr="00206DDD">
        <w:rPr>
          <w:rFonts w:ascii="Times New Roman" w:eastAsia="Times New Roman" w:hAnsi="Times New Roman" w:cs="Times New Roman"/>
          <w:b/>
          <w:sz w:val="24"/>
          <w:szCs w:val="24"/>
          <w:highlight w:val="white"/>
        </w:rPr>
        <w:t xml:space="preserve">кті </w:t>
      </w:r>
      <w:r w:rsidRPr="00206DDD">
        <w:rPr>
          <w:rFonts w:ascii="Times New Roman" w:eastAsia="Times New Roman" w:hAnsi="Times New Roman" w:cs="Times New Roman"/>
          <w:sz w:val="24"/>
          <w:szCs w:val="24"/>
          <w:highlight w:val="white"/>
        </w:rPr>
        <w:t>47</w:t>
      </w:r>
      <w:r w:rsidRPr="00206DDD">
        <w:rPr>
          <w:rFonts w:ascii="Times New Roman" w:eastAsia="Times New Roman" w:hAnsi="Times New Roman" w:cs="Times New Roman"/>
          <w:b/>
          <w:sz w:val="24"/>
          <w:szCs w:val="24"/>
          <w:highlight w:val="white"/>
        </w:rPr>
        <w:t xml:space="preserve"> Особливостей:</w:t>
      </w:r>
    </w:p>
    <w:p w:rsidR="00206DDD" w:rsidRPr="00206DDD" w:rsidRDefault="00206DDD" w:rsidP="00206D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rPr>
        <w:t>Переможець процедури закупівлі у строк, що</w:t>
      </w:r>
      <w:r w:rsidRPr="00206DDD">
        <w:rPr>
          <w:rFonts w:ascii="Times New Roman" w:eastAsia="Times New Roman" w:hAnsi="Times New Roman" w:cs="Times New Roman"/>
          <w:sz w:val="24"/>
          <w:szCs w:val="24"/>
          <w:lang w:val="ru-RU"/>
        </w:rPr>
        <w:t> </w:t>
      </w:r>
      <w:r w:rsidRPr="00206DDD">
        <w:rPr>
          <w:rFonts w:ascii="Times New Roman" w:eastAsia="Times New Roman" w:hAnsi="Times New Roman" w:cs="Times New Roman"/>
          <w:b/>
          <w:bCs/>
          <w:i/>
          <w:iCs/>
          <w:sz w:val="24"/>
          <w:szCs w:val="24"/>
        </w:rPr>
        <w:t>не перевищує чотири дні</w:t>
      </w:r>
      <w:r w:rsidRPr="00206DDD">
        <w:rPr>
          <w:rFonts w:ascii="Times New Roman" w:eastAsia="Times New Roman" w:hAnsi="Times New Roman" w:cs="Times New Roman"/>
          <w:b/>
          <w:bCs/>
          <w:i/>
          <w:iCs/>
          <w:sz w:val="24"/>
          <w:szCs w:val="24"/>
          <w:lang w:val="ru-RU"/>
        </w:rPr>
        <w:t> </w:t>
      </w:r>
      <w:r w:rsidRPr="00206DD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206DDD">
        <w:rPr>
          <w:rFonts w:ascii="Times New Roman" w:eastAsia="Times New Roman" w:hAnsi="Times New Roman" w:cs="Times New Roman"/>
          <w:sz w:val="24"/>
          <w:szCs w:val="24"/>
          <w:lang w:val="ru-RU"/>
        </w:rPr>
        <w:t> </w:t>
      </w:r>
    </w:p>
    <w:p w:rsidR="00206DDD" w:rsidRPr="00206DDD" w:rsidRDefault="00206DDD" w:rsidP="00206DD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206DDD">
        <w:rPr>
          <w:rFonts w:ascii="Times New Roman" w:eastAsia="Times New Roman" w:hAnsi="Times New Roman" w:cs="Times New Roman"/>
          <w:sz w:val="24"/>
          <w:szCs w:val="24"/>
          <w:lang w:val="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6DDD" w:rsidRPr="00206DDD" w:rsidRDefault="00206DDD" w:rsidP="00206DDD">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highlight w:val="white"/>
          <w:lang w:val="ru-RU"/>
        </w:rPr>
      </w:pP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 xml:space="preserve">свою роботу, </w:t>
            </w:r>
            <w:r w:rsidRPr="0050518A">
              <w:rPr>
                <w:rFonts w:ascii="Times New Roman" w:eastAsia="Times New Roman" w:hAnsi="Times New Roman" w:cs="Times New Roman"/>
                <w:i/>
                <w:sz w:val="24"/>
                <w:szCs w:val="24"/>
                <w:highlight w:val="white"/>
              </w:rPr>
              <w:lastRenderedPageBreak/>
              <w:t>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167FB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167F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9140A" w:rsidRPr="0050518A" w:rsidTr="00167F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0518A">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167F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в особі  директора Гейка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844345">
      <w:pPr>
        <w:pStyle w:val="afb"/>
        <w:ind w:firstLine="709"/>
        <w:jc w:val="both"/>
        <w:rPr>
          <w:rFonts w:ascii="Times New Roman" w:hAnsi="Times New Roman"/>
          <w:i/>
          <w:iCs/>
          <w:sz w:val="24"/>
          <w:szCs w:val="24"/>
        </w:rPr>
      </w:pPr>
      <w:r w:rsidRPr="00844345">
        <w:rPr>
          <w:rFonts w:ascii="Times New Roman" w:eastAsia="Times New Roman" w:hAnsi="Times New Roman"/>
          <w:sz w:val="24"/>
          <w:szCs w:val="24"/>
        </w:rPr>
        <w:t xml:space="preserve">1.1. </w:t>
      </w:r>
      <w:r w:rsidRPr="00844345">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Pr="00844345">
        <w:rPr>
          <w:rFonts w:ascii="Times New Roman" w:eastAsia="Times New Roman" w:hAnsi="Times New Roman"/>
          <w:bCs/>
          <w:color w:val="000000"/>
          <w:sz w:val="24"/>
          <w:szCs w:val="24"/>
        </w:rPr>
        <w:t xml:space="preserve"> </w:t>
      </w:r>
      <w:r w:rsidRPr="00844345">
        <w:rPr>
          <w:rFonts w:ascii="Times New Roman" w:hAnsi="Times New Roman"/>
          <w:b/>
          <w:bCs/>
          <w:sz w:val="24"/>
          <w:szCs w:val="24"/>
        </w:rPr>
        <w:t xml:space="preserve">ДК 021:2015 - 33690000-3 </w:t>
      </w:r>
      <w:r w:rsidRPr="00844345">
        <w:rPr>
          <w:rFonts w:ascii="Times New Roman" w:hAnsi="Times New Roman"/>
          <w:b/>
          <w:sz w:val="24"/>
          <w:szCs w:val="24"/>
        </w:rPr>
        <w:t>Лікарські засоби різні. Лабораторні реактиви</w:t>
      </w:r>
      <w:r w:rsidRPr="00844345">
        <w:rPr>
          <w:rFonts w:ascii="Times New Roman" w:hAnsi="Times New Roman"/>
          <w:b/>
          <w:bCs/>
          <w:sz w:val="24"/>
          <w:szCs w:val="24"/>
        </w:rPr>
        <w:t xml:space="preserve"> </w:t>
      </w:r>
      <w:r w:rsidRPr="00844345">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9" w:name="_Hlk74845727"/>
      <w:r w:rsidRPr="00844345">
        <w:rPr>
          <w:rFonts w:ascii="Times New Roman" w:eastAsia="Times New Roman" w:hAnsi="Times New Roman"/>
          <w:bCs/>
          <w:sz w:val="24"/>
          <w:szCs w:val="24"/>
        </w:rPr>
        <w:t>(Додаток 1 до Договору)</w:t>
      </w:r>
      <w:bookmarkEnd w:id="9"/>
      <w:r w:rsidRPr="00844345">
        <w:rPr>
          <w:rFonts w:ascii="Times New Roman" w:eastAsia="Times New Roman" w:hAnsi="Times New Roman"/>
          <w:bCs/>
          <w:sz w:val="24"/>
          <w:szCs w:val="24"/>
        </w:rPr>
        <w:t>, а Замовник зобов’язується прийняти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10"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10"/>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1"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2.4. Термін придатності Товару повинен становити не менше 80 % від загального терміну придатності на  дату поставки на склад Замовника.</w:t>
      </w:r>
    </w:p>
    <w:bookmarkEnd w:id="1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2"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3"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3"/>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2"/>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4" w:name="_Hlk74846898"/>
      <w:bookmarkStart w:id="15"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4"/>
      <w:bookmarkEnd w:id="15"/>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6"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6"/>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Місце поставки Товару: </w:t>
      </w:r>
      <w:r w:rsidRPr="00844345">
        <w:rPr>
          <w:bCs/>
        </w:rPr>
        <w:t xml:space="preserve">84307, Донецька обл., м. Краматорськ, вул. Олекси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7" w:name="_Hlk74913566"/>
      <w:r w:rsidRPr="00844345">
        <w:rPr>
          <w:rFonts w:ascii="Times New Roman" w:hAnsi="Times New Roman" w:cs="Times New Roman"/>
          <w:sz w:val="24"/>
          <w:szCs w:val="24"/>
          <w:shd w:val="clear" w:color="auto" w:fill="FFFFFF"/>
        </w:rPr>
        <w:t>Постачальником</w:t>
      </w:r>
      <w:bookmarkEnd w:id="17"/>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lastRenderedPageBreak/>
        <w:t xml:space="preserve">5.7. </w:t>
      </w:r>
      <w:bookmarkStart w:id="18"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8"/>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9"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9"/>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0" w:name="_Hlk74915309"/>
      <w:r w:rsidRPr="00844345">
        <w:rPr>
          <w:rFonts w:ascii="Times New Roman" w:hAnsi="Times New Roman" w:cs="Times New Roman"/>
          <w:sz w:val="24"/>
          <w:szCs w:val="24"/>
        </w:rPr>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передачи Товару Замовнику.</w:t>
      </w:r>
    </w:p>
    <w:bookmarkEnd w:id="20"/>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7.2. За непоставку,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1"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2"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2"/>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3"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4"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3"/>
    <w:bookmarkEnd w:id="24"/>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10. Оперативно-господарські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lastRenderedPageBreak/>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5"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6" w:name="_Hlk70524367"/>
      <w:r w:rsidRPr="00844345">
        <w:rPr>
          <w:rFonts w:ascii="Times New Roman" w:hAnsi="Times New Roman" w:cs="Times New Roman"/>
          <w:sz w:val="24"/>
          <w:szCs w:val="24"/>
        </w:rPr>
        <w:t xml:space="preserve">11.1. </w:t>
      </w:r>
      <w:bookmarkStart w:id="27"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6"/>
    <w:bookmarkEnd w:id="27"/>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8"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9"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9"/>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8"/>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30" w:name="_Hlk70524396"/>
      <w:r w:rsidRPr="00844345">
        <w:rPr>
          <w:rFonts w:ascii="Times New Roman" w:hAnsi="Times New Roman" w:cs="Times New Roman"/>
          <w:sz w:val="24"/>
          <w:szCs w:val="24"/>
        </w:rPr>
        <w:t>13.1</w:t>
      </w:r>
      <w:bookmarkStart w:id="31"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5"/>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2" w:name="_Hlk37331824"/>
      <w:r w:rsidRPr="00844345">
        <w:rPr>
          <w:rFonts w:ascii="Times New Roman" w:hAnsi="Times New Roman" w:cs="Times New Roman"/>
          <w:sz w:val="24"/>
          <w:szCs w:val="24"/>
        </w:rPr>
        <w:lastRenderedPageBreak/>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_Hlk37331856"/>
      <w:bookmarkEnd w:id="32"/>
    </w:p>
    <w:p w:rsidR="00C73418" w:rsidRPr="00AB0597" w:rsidRDefault="00C73418" w:rsidP="0004751A">
      <w:pPr>
        <w:spacing w:after="0"/>
        <w:jc w:val="both"/>
        <w:rPr>
          <w:rFonts w:ascii="Times New Roman" w:hAnsi="Times New Roman" w:cs="Times New Roman"/>
          <w:sz w:val="24"/>
          <w:szCs w:val="24"/>
        </w:rPr>
      </w:pPr>
      <w:r w:rsidRPr="00C73418">
        <w:t xml:space="preserve">13.3.1. зменшення обсягів закупівлі, зокрема з урахуванням фактичного обсягу видатків замовника. </w:t>
      </w:r>
      <w:r w:rsidRPr="00AB0597">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результат порівняння цін у відсотковому вираженні;</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13.3.4.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AB0597">
        <w:rPr>
          <w:rFonts w:ascii="Times New Roman" w:hAnsi="Times New Roman" w:cs="Times New Roman"/>
          <w:sz w:val="24"/>
          <w:szCs w:val="24"/>
        </w:rPr>
        <w:lastRenderedPageBreak/>
        <w:t>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AB0597" w:rsidRDefault="00C73418" w:rsidP="0004751A">
      <w:pPr>
        <w:spacing w:after="0"/>
        <w:jc w:val="both"/>
        <w:rPr>
          <w:rFonts w:ascii="Times New Roman" w:hAnsi="Times New Roman" w:cs="Times New Roman"/>
          <w:sz w:val="24"/>
          <w:szCs w:val="24"/>
        </w:rPr>
      </w:pPr>
      <w:r w:rsidRPr="00AB0597">
        <w:rPr>
          <w:rFonts w:ascii="Times New Roman" w:hAnsi="Times New Roman" w:cs="Times New Roman"/>
          <w:sz w:val="24"/>
          <w:szCs w:val="24"/>
        </w:rPr>
        <w:t>13.3.8.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3"/>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lastRenderedPageBreak/>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0"/>
    <w:bookmarkEnd w:id="31"/>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lastRenderedPageBreak/>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85691B">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85691B">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85691B">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85691B">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85691B">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85691B">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85691B">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85691B">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85691B">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Тел.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r w:rsidRPr="00E55C82">
                    <w:rPr>
                      <w:rFonts w:ascii="Times New Roman" w:hAnsi="Times New Roman"/>
                      <w:sz w:val="24"/>
                      <w:szCs w:val="24"/>
                      <w:lang w:val="en-US" w:eastAsia="uk-UA"/>
                    </w:rPr>
                    <w:t>medicaloblter</w:t>
                  </w:r>
                  <w:r w:rsidRPr="00E55C82">
                    <w:rPr>
                      <w:rFonts w:ascii="Times New Roman" w:hAnsi="Times New Roman"/>
                      <w:sz w:val="24"/>
                      <w:szCs w:val="24"/>
                      <w:lang w:eastAsia="uk-UA"/>
                    </w:rPr>
                    <w:t>@</w:t>
                  </w:r>
                  <w:r w:rsidRPr="00E55C82">
                    <w:rPr>
                      <w:rFonts w:ascii="Times New Roman" w:hAnsi="Times New Roman"/>
                      <w:sz w:val="24"/>
                      <w:szCs w:val="24"/>
                      <w:lang w:val="en-US" w:eastAsia="uk-UA"/>
                    </w:rPr>
                    <w:t>gmail</w:t>
                  </w:r>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832259">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832259">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832259">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w:t>
            </w:r>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832259">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32259">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32259">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r>
      <w:tr w:rsidR="002F2FB0" w:rsidRPr="00134AA5" w:rsidTr="00832259">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32259">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32259">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32259">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32259">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32259">
            <w:pPr>
              <w:rPr>
                <w:rFonts w:ascii="Times New Roman" w:hAnsi="Times New Roman"/>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r w:rsidR="002F2FB0" w:rsidRPr="00134AA5" w:rsidTr="00832259">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32259">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32259">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32259">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134AA5" w:rsidRDefault="00F50441" w:rsidP="00F50441">
      <w:pPr>
        <w:jc w:val="center"/>
        <w:rPr>
          <w:rFonts w:ascii="Times New Roman" w:hAnsi="Times New Roman"/>
          <w:sz w:val="20"/>
          <w:szCs w:val="20"/>
        </w:rPr>
      </w:pPr>
    </w:p>
    <w:p w:rsidR="00F50441" w:rsidRDefault="00F50441"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EB" w:rsidRDefault="001911EB">
      <w:pPr>
        <w:spacing w:after="0" w:line="240" w:lineRule="auto"/>
      </w:pPr>
      <w:r>
        <w:separator/>
      </w:r>
    </w:p>
  </w:endnote>
  <w:endnote w:type="continuationSeparator" w:id="0">
    <w:p w:rsidR="001911EB" w:rsidRDefault="001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4E" w:rsidRDefault="000144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3B00">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EB" w:rsidRDefault="001911EB">
      <w:pPr>
        <w:spacing w:after="0" w:line="240" w:lineRule="auto"/>
      </w:pPr>
      <w:r>
        <w:separator/>
      </w:r>
    </w:p>
  </w:footnote>
  <w:footnote w:type="continuationSeparator" w:id="0">
    <w:p w:rsidR="001911EB" w:rsidRDefault="0019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4E" w:rsidRPr="00572FD7" w:rsidRDefault="0001444E"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1444E"/>
    <w:rsid w:val="0004751A"/>
    <w:rsid w:val="00051664"/>
    <w:rsid w:val="00096D70"/>
    <w:rsid w:val="00115BAD"/>
    <w:rsid w:val="0011725D"/>
    <w:rsid w:val="00130ABF"/>
    <w:rsid w:val="00167FB4"/>
    <w:rsid w:val="001726D4"/>
    <w:rsid w:val="001731F6"/>
    <w:rsid w:val="0017389C"/>
    <w:rsid w:val="0017573E"/>
    <w:rsid w:val="001911EB"/>
    <w:rsid w:val="001950A9"/>
    <w:rsid w:val="00206DDD"/>
    <w:rsid w:val="00232480"/>
    <w:rsid w:val="00287A34"/>
    <w:rsid w:val="002D46EC"/>
    <w:rsid w:val="002F2FB0"/>
    <w:rsid w:val="002F3190"/>
    <w:rsid w:val="0039240D"/>
    <w:rsid w:val="003B529B"/>
    <w:rsid w:val="003F6146"/>
    <w:rsid w:val="00460F2F"/>
    <w:rsid w:val="004C3B00"/>
    <w:rsid w:val="004D5B01"/>
    <w:rsid w:val="0050518A"/>
    <w:rsid w:val="00572FD7"/>
    <w:rsid w:val="00575E88"/>
    <w:rsid w:val="005E3725"/>
    <w:rsid w:val="00612E24"/>
    <w:rsid w:val="00624616"/>
    <w:rsid w:val="0064464D"/>
    <w:rsid w:val="0066393C"/>
    <w:rsid w:val="006810A5"/>
    <w:rsid w:val="0071541B"/>
    <w:rsid w:val="0072058B"/>
    <w:rsid w:val="00745D0F"/>
    <w:rsid w:val="00784D14"/>
    <w:rsid w:val="00797C2F"/>
    <w:rsid w:val="007B36A4"/>
    <w:rsid w:val="007F430C"/>
    <w:rsid w:val="00817CEC"/>
    <w:rsid w:val="00823073"/>
    <w:rsid w:val="00832259"/>
    <w:rsid w:val="00844345"/>
    <w:rsid w:val="00851879"/>
    <w:rsid w:val="0085691B"/>
    <w:rsid w:val="00861AC3"/>
    <w:rsid w:val="008772D6"/>
    <w:rsid w:val="008964FD"/>
    <w:rsid w:val="008A5A71"/>
    <w:rsid w:val="008C7D7F"/>
    <w:rsid w:val="008D588B"/>
    <w:rsid w:val="008F4DD1"/>
    <w:rsid w:val="00945EC3"/>
    <w:rsid w:val="0099140A"/>
    <w:rsid w:val="009932D7"/>
    <w:rsid w:val="009A434B"/>
    <w:rsid w:val="009D5B67"/>
    <w:rsid w:val="00A07545"/>
    <w:rsid w:val="00A075E4"/>
    <w:rsid w:val="00A235DA"/>
    <w:rsid w:val="00A265E6"/>
    <w:rsid w:val="00AA14BF"/>
    <w:rsid w:val="00AB0597"/>
    <w:rsid w:val="00AF28B5"/>
    <w:rsid w:val="00BA23FF"/>
    <w:rsid w:val="00BC4B02"/>
    <w:rsid w:val="00BC678A"/>
    <w:rsid w:val="00C329E2"/>
    <w:rsid w:val="00C52A0D"/>
    <w:rsid w:val="00C73418"/>
    <w:rsid w:val="00D10DF0"/>
    <w:rsid w:val="00D76F81"/>
    <w:rsid w:val="00DA28A4"/>
    <w:rsid w:val="00DB273E"/>
    <w:rsid w:val="00E316A3"/>
    <w:rsid w:val="00E7089F"/>
    <w:rsid w:val="00F16C18"/>
    <w:rsid w:val="00F17A89"/>
    <w:rsid w:val="00F2306E"/>
    <w:rsid w:val="00F24CB6"/>
    <w:rsid w:val="00F50441"/>
    <w:rsid w:val="00F8127C"/>
    <w:rsid w:val="00F9605B"/>
    <w:rsid w:val="00FA7E10"/>
    <w:rsid w:val="00FB1C64"/>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0252"/>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4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 w:type="character" w:styleId="afe">
    <w:name w:val="Emphasis"/>
    <w:basedOn w:val="a0"/>
    <w:uiPriority w:val="20"/>
    <w:qFormat/>
    <w:rsid w:val="0085691B"/>
    <w:rPr>
      <w:i/>
      <w:iCs/>
    </w:rPr>
  </w:style>
  <w:style w:type="character" w:styleId="aff">
    <w:name w:val="Strong"/>
    <w:basedOn w:val="a0"/>
    <w:uiPriority w:val="22"/>
    <w:qFormat/>
    <w:rsid w:val="00014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51">
      <w:bodyDiv w:val="1"/>
      <w:marLeft w:val="0"/>
      <w:marRight w:val="0"/>
      <w:marTop w:val="0"/>
      <w:marBottom w:val="0"/>
      <w:divBdr>
        <w:top w:val="none" w:sz="0" w:space="0" w:color="auto"/>
        <w:left w:val="none" w:sz="0" w:space="0" w:color="auto"/>
        <w:bottom w:val="none" w:sz="0" w:space="0" w:color="auto"/>
        <w:right w:val="none" w:sz="0" w:space="0" w:color="auto"/>
      </w:divBdr>
    </w:div>
    <w:div w:id="210503259">
      <w:bodyDiv w:val="1"/>
      <w:marLeft w:val="0"/>
      <w:marRight w:val="0"/>
      <w:marTop w:val="0"/>
      <w:marBottom w:val="0"/>
      <w:divBdr>
        <w:top w:val="none" w:sz="0" w:space="0" w:color="auto"/>
        <w:left w:val="none" w:sz="0" w:space="0" w:color="auto"/>
        <w:bottom w:val="none" w:sz="0" w:space="0" w:color="auto"/>
        <w:right w:val="none" w:sz="0" w:space="0" w:color="auto"/>
      </w:divBdr>
    </w:div>
    <w:div w:id="801651291">
      <w:bodyDiv w:val="1"/>
      <w:marLeft w:val="0"/>
      <w:marRight w:val="0"/>
      <w:marTop w:val="0"/>
      <w:marBottom w:val="0"/>
      <w:divBdr>
        <w:top w:val="none" w:sz="0" w:space="0" w:color="auto"/>
        <w:left w:val="none" w:sz="0" w:space="0" w:color="auto"/>
        <w:bottom w:val="none" w:sz="0" w:space="0" w:color="auto"/>
        <w:right w:val="none" w:sz="0" w:space="0" w:color="auto"/>
      </w:divBdr>
    </w:div>
    <w:div w:id="1526216808">
      <w:bodyDiv w:val="1"/>
      <w:marLeft w:val="0"/>
      <w:marRight w:val="0"/>
      <w:marTop w:val="0"/>
      <w:marBottom w:val="0"/>
      <w:divBdr>
        <w:top w:val="none" w:sz="0" w:space="0" w:color="auto"/>
        <w:left w:val="none" w:sz="0" w:space="0" w:color="auto"/>
        <w:bottom w:val="none" w:sz="0" w:space="0" w:color="auto"/>
        <w:right w:val="none" w:sz="0" w:space="0" w:color="auto"/>
      </w:divBdr>
    </w:div>
    <w:div w:id="1614559180">
      <w:bodyDiv w:val="1"/>
      <w:marLeft w:val="0"/>
      <w:marRight w:val="0"/>
      <w:marTop w:val="0"/>
      <w:marBottom w:val="0"/>
      <w:divBdr>
        <w:top w:val="none" w:sz="0" w:space="0" w:color="auto"/>
        <w:left w:val="none" w:sz="0" w:space="0" w:color="auto"/>
        <w:bottom w:val="none" w:sz="0" w:space="0" w:color="auto"/>
        <w:right w:val="none" w:sz="0" w:space="0" w:color="auto"/>
      </w:divBdr>
    </w:div>
    <w:div w:id="1986078964">
      <w:bodyDiv w:val="1"/>
      <w:marLeft w:val="0"/>
      <w:marRight w:val="0"/>
      <w:marTop w:val="0"/>
      <w:marBottom w:val="0"/>
      <w:divBdr>
        <w:top w:val="none" w:sz="0" w:space="0" w:color="auto"/>
        <w:left w:val="none" w:sz="0" w:space="0" w:color="auto"/>
        <w:bottom w:val="none" w:sz="0" w:space="0" w:color="auto"/>
        <w:right w:val="none" w:sz="0" w:space="0" w:color="auto"/>
      </w:divBdr>
    </w:div>
    <w:div w:id="20030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37</Pages>
  <Words>14306</Words>
  <Characters>81548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18</cp:revision>
  <dcterms:created xsi:type="dcterms:W3CDTF">2024-04-09T11:53:00Z</dcterms:created>
  <dcterms:modified xsi:type="dcterms:W3CDTF">2024-04-10T17:36:00Z</dcterms:modified>
</cp:coreProperties>
</file>