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Додаток 4</w:t>
      </w:r>
    </w:p>
    <w:p>
      <w:pPr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567"/>
        <w:jc w:val="center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Перелік документів, які надаються учасником для підтвердження відповідності тендерної пропозиції  кваліфікаційним критеріям та іншим вимогам.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567"/>
        <w:jc w:val="center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0" w:firstLineChars="15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Документально підтверджена інформація про відповідність Учасника кваліфікаційним критеріям згідно ст.16 Закону України «Про публічні закупівлі»:</w:t>
      </w:r>
    </w:p>
    <w:p>
      <w:pPr>
        <w:pStyle w:val="5"/>
        <w:keepNext/>
        <w:keepLines/>
        <w:widowControl w:val="0"/>
        <w:numPr>
          <w:ilvl w:val="0"/>
          <w:numId w:val="1"/>
        </w:numPr>
        <w:tabs>
          <w:tab w:val="left" w:pos="279"/>
        </w:tabs>
        <w:spacing w:before="0"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uk-UA"/>
        </w:rPr>
        <w:t>Довідка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uk-UA"/>
        </w:rPr>
        <w:t xml:space="preserve"> про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uk-UA"/>
        </w:rPr>
        <w:t>наявність в учасника процедури закупівлі обладнання, матеріально-технічної бази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uk-UA"/>
        </w:rPr>
        <w:t xml:space="preserve"> та технологій.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2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uk-UA"/>
        </w:rPr>
        <w:t>Довідка про 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аявність документально підтвердженого досвіду виконання аналогічного за предметом закупівлі договору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uk-UA"/>
        </w:rPr>
        <w:t xml:space="preserve"> з підтвердженням та виконанням (договір, накладна, акт прийому передач тощо).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22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Інші документи, інформації.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24" w:hanging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Довідка у довільній формі про загальні відомості Учасника.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</w:rPr>
        <w:t xml:space="preserve">2. Витяг або виписка з Єдиного державного реєстру юридичних осіб та фізичних осіб-підприємців.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iCs/>
          <w:sz w:val="24"/>
          <w:szCs w:val="24"/>
          <w:lang w:val="uk-UA"/>
        </w:rPr>
        <w:t xml:space="preserve">   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3. </w:t>
      </w:r>
      <w:r>
        <w:rPr>
          <w:rFonts w:hint="default" w:ascii="Times New Roman" w:hAnsi="Times New Roman" w:cs="Times New Roman"/>
          <w:iCs/>
          <w:color w:val="000000"/>
          <w:sz w:val="24"/>
          <w:szCs w:val="24"/>
        </w:rPr>
        <w:t>Копія Статуту/Положення із змінами (в разі їх наявності)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23" w:firstLine="360" w:firstLineChars="1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4. </w:t>
      </w:r>
      <w:r>
        <w:rPr>
          <w:rFonts w:hint="default" w:ascii="Times New Roman" w:hAnsi="Times New Roman" w:cs="Times New Roman"/>
          <w:sz w:val="24"/>
          <w:szCs w:val="24"/>
        </w:rPr>
        <w:t>Довідку в довільній формі про те, що він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23" w:firstLine="3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Якщо Учасник закупівлі – фізична особа-підприємець або фізична особа: копія паспорту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(всіх сторінок – в разі наявного паспорту у формі книжки; у формі ID-картки – обидві сторони)</w:t>
      </w:r>
      <w:r>
        <w:rPr>
          <w:rFonts w:hint="default" w:ascii="Times New Roman" w:hAnsi="Times New Roman" w:cs="Times New Roman"/>
          <w:sz w:val="24"/>
          <w:szCs w:val="24"/>
        </w:rPr>
        <w:t xml:space="preserve"> та ідентифікаційного коду.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23" w:firstLine="3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У разі відсутності у Єдиному державному реєстрі юридичних осіб, фізичних осіб-підприємців та громадських формувань інформації, передбаченої п. 9 ч. 2 ст. 9 Закону України «Про державну реєстрацію юридичних осіб, фізичних осіб-підприємців та громадських формувань», про кінцевого бенефіціарного власника (контролера) юридичної особи, яка є Учасником, у складі тендерної пропозиції Учасник повинен надати довідку/пояснення щодо причин відсутності інформації про кінцевого бенефіціарного власника (контролера) у Єдиному державному реєстрі юридичних осіб, фізичних осіб-підприємців та громадських формувань.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23" w:firstLine="3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Документи, що підтверджують повноваження посадової особи або представника учасника процедури закупівлі щодо підпису документів тендерної пропозиції, договору тощо.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23" w:firstLine="3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Лист-згода в довільній формі за підписом учасника (уповноваженого представника) на обробку, використання, поширення та доступ до персональних даних.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23" w:firstLine="3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9. Лист в довільній формі за підписом учасника про згоду з проектом договору.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10. Учасник у складі пропозиції подає гарантійний лист з дотриманням всіх технічних вимог (визначених у Додатку 2).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11. Т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ендерна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пропозиція відповідно наданої форми ( Додаток 1);</w:t>
      </w: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12.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13.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повноваження).</w:t>
      </w:r>
      <w:bookmarkStart w:id="0" w:name="_Hlk132979744"/>
      <w:bookmarkEnd w:id="0"/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  <w:t xml:space="preserve">Сертифікат. 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uk-UA"/>
        </w:rPr>
        <w:t xml:space="preserve">15. Гарантійний лист з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гарантійним обслуговуванням не менше 12 місяців з моменту поставки товару.</w:t>
      </w:r>
    </w:p>
    <w:p>
      <w:pPr>
        <w:keepNext w:val="0"/>
        <w:keepLines w:val="0"/>
        <w:pageBreakBefore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16.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Інструкцію з користування приладом.</w:t>
      </w:r>
      <w:bookmarkStart w:id="2" w:name="_GoBack"/>
      <w:bookmarkEnd w:id="2"/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283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Інші документи, інформації визначені тендерною документацією.</w:t>
      </w:r>
    </w:p>
    <w:p>
      <w:pPr>
        <w:spacing w:before="0"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before="0" w:after="0" w:line="240" w:lineRule="auto"/>
        <w:ind w:firstLine="510"/>
        <w:jc w:val="center"/>
        <w:rPr>
          <w:rFonts w:ascii="Times New Roman" w:hAnsi="Times New Roman"/>
          <w:b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</w:rPr>
        <w:t xml:space="preserve">Підтвердження відповідності УЧАСНИКА  вимогам, </w:t>
      </w:r>
    </w:p>
    <w:p>
      <w:pPr>
        <w:spacing w:before="0" w:after="0" w:line="240" w:lineRule="auto"/>
        <w:ind w:firstLine="510"/>
        <w:jc w:val="center"/>
        <w:rPr>
          <w:rFonts w:ascii="Times New Roman" w:hAnsi="Times New Roman"/>
          <w:b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iCs/>
          <w:color w:val="0D0D0D"/>
          <w:sz w:val="24"/>
          <w:szCs w:val="24"/>
        </w:rPr>
        <w:t>визначеним у пункті 47  Особливостей</w:t>
      </w:r>
    </w:p>
    <w:p>
      <w:pPr>
        <w:shd w:val="clear" w:color="auto" w:fill="FFFFFF"/>
        <w:spacing w:before="0" w:after="0" w:line="240" w:lineRule="auto"/>
        <w:ind w:firstLine="283"/>
        <w:jc w:val="both"/>
        <w:rPr>
          <w:rFonts w:ascii="Times New Roman" w:hAnsi="Times New Roman"/>
          <w:color w:val="0D0D0D"/>
          <w:sz w:val="24"/>
          <w:szCs w:val="24"/>
        </w:rPr>
      </w:pPr>
      <w:bookmarkStart w:id="1" w:name="n414"/>
      <w:bookmarkEnd w:id="1"/>
      <w:r>
        <w:rPr>
          <w:rFonts w:ascii="Times New Roman" w:hAnsi="Times New Roman"/>
          <w:color w:val="0D0D0D"/>
          <w:sz w:val="24"/>
          <w:szCs w:val="24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shd w:val="clear" w:color="auto" w:fill="FFFFFF"/>
        <w:tabs>
          <w:tab w:val="left" w:pos="345"/>
        </w:tabs>
        <w:spacing w:before="0" w:after="0" w:line="240" w:lineRule="auto"/>
        <w:ind w:firstLine="28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>
      <w:pPr>
        <w:shd w:val="clear" w:color="auto" w:fill="FFFFFF"/>
        <w:spacing w:before="0" w:after="150" w:line="240" w:lineRule="auto"/>
        <w:ind w:firstLine="28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пункті 47 Особливостей (крім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fldChar w:fldCharType="begin"/>
      </w:r>
      <w:r>
        <w:rPr>
          <w:rFonts w:ascii="Times New Roman" w:hAnsi="Times New Roman"/>
          <w:color w:val="0D0D0D"/>
          <w:sz w:val="24"/>
          <w:szCs w:val="24"/>
          <w:u w:val="single"/>
        </w:rPr>
        <w:instrText xml:space="preserve">HYPERLINK "https://zakon.rada.gov.ua/laws/show/1178-2022-п" \l "n411"</w:instrText>
      </w:r>
      <w:r>
        <w:rPr>
          <w:rFonts w:ascii="Times New Roman" w:hAnsi="Times New Roman"/>
          <w:color w:val="0D0D0D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color w:val="0D0D0D"/>
          <w:sz w:val="24"/>
          <w:szCs w:val="24"/>
          <w:u w:val="single"/>
        </w:rPr>
        <w:t>абзацу чотирнадцятого</w:t>
      </w:r>
      <w:r>
        <w:rPr>
          <w:rFonts w:ascii="Times New Roman" w:hAnsi="Times New Roman"/>
          <w:color w:val="0D0D0D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цього пункту), крім самостійного декларування відсутності таких підстав учасником процедури закупівлі відповідно до</w:t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fldChar w:fldCharType="begin"/>
      </w:r>
      <w:r>
        <w:rPr>
          <w:rFonts w:ascii="Times New Roman" w:hAnsi="Times New Roman"/>
          <w:color w:val="0D0D0D"/>
          <w:sz w:val="24"/>
          <w:szCs w:val="24"/>
          <w:u w:val="single"/>
        </w:rPr>
        <w:instrText xml:space="preserve">HYPERLINK "https://zakon.rada.gov.ua/laws/show/1178-2022-п" \l "n413"</w:instrText>
      </w:r>
      <w:r>
        <w:rPr>
          <w:rFonts w:ascii="Times New Roman" w:hAnsi="Times New Roman"/>
          <w:color w:val="0D0D0D"/>
          <w:sz w:val="24"/>
          <w:szCs w:val="24"/>
          <w:u w:val="single"/>
        </w:rPr>
        <w:fldChar w:fldCharType="separate"/>
      </w:r>
      <w:r>
        <w:rPr>
          <w:rFonts w:ascii="Times New Roman" w:hAnsi="Times New Roman"/>
          <w:color w:val="0D0D0D"/>
          <w:sz w:val="24"/>
          <w:szCs w:val="24"/>
          <w:u w:val="single"/>
        </w:rPr>
        <w:t>абзацу шістнадцятого</w:t>
      </w:r>
      <w:r>
        <w:rPr>
          <w:rFonts w:ascii="Times New Roman" w:hAnsi="Times New Roman"/>
          <w:color w:val="0D0D0D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color w:val="0D0D0D"/>
          <w:sz w:val="24"/>
          <w:szCs w:val="24"/>
          <w:lang w:val="ru-RU"/>
        </w:rPr>
        <w:t> </w:t>
      </w:r>
      <w:r>
        <w:rPr>
          <w:rFonts w:ascii="Times New Roman" w:hAnsi="Times New Roman"/>
          <w:color w:val="0D0D0D"/>
          <w:sz w:val="24"/>
          <w:szCs w:val="24"/>
        </w:rPr>
        <w:t>пункту 47 Особливостей.</w:t>
      </w:r>
    </w:p>
    <w:p>
      <w:pPr>
        <w:spacing w:before="0" w:after="0" w:line="240" w:lineRule="auto"/>
        <w:jc w:val="center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uk-UA"/>
        </w:rPr>
        <w:t>Перелік документів та інформації</w:t>
      </w:r>
      <w:r>
        <w:rPr>
          <w:rFonts w:ascii="Times New Roman" w:hAnsi="Times New Roman" w:eastAsia="Times New Roman"/>
          <w:b/>
          <w:color w:val="0D0D0D"/>
          <w:sz w:val="24"/>
          <w:szCs w:val="24"/>
          <w:lang w:val="ru-RU" w:eastAsia="uk-UA"/>
        </w:rPr>
        <w:t> </w:t>
      </w:r>
      <w:r>
        <w:rPr>
          <w:rFonts w:ascii="Times New Roman" w:hAnsi="Times New Roman" w:eastAsia="Times New Roman"/>
          <w:b/>
          <w:color w:val="0D0D0D"/>
          <w:sz w:val="24"/>
          <w:szCs w:val="24"/>
          <w:lang w:eastAsia="uk-UA"/>
        </w:rPr>
        <w:t xml:space="preserve"> </w:t>
      </w:r>
    </w:p>
    <w:p>
      <w:pPr>
        <w:spacing w:before="0" w:after="0" w:line="240" w:lineRule="auto"/>
        <w:jc w:val="center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uk-UA"/>
        </w:rPr>
        <w:t xml:space="preserve">для підтвердження відповідності ПЕРЕМОЖЦЯ вимогам, </w:t>
      </w:r>
    </w:p>
    <w:p>
      <w:pPr>
        <w:spacing w:before="0" w:after="0" w:line="240" w:lineRule="auto"/>
        <w:jc w:val="center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uk-UA"/>
        </w:rPr>
        <w:t>визначеним у пун</w:t>
      </w:r>
      <w:r>
        <w:rPr>
          <w:rFonts w:ascii="Times New Roman" w:hAnsi="Times New Roman" w:eastAsia="Times New Roman"/>
          <w:b/>
          <w:color w:val="0D0D0D"/>
          <w:sz w:val="24"/>
          <w:szCs w:val="24"/>
          <w:highlight w:val="white"/>
          <w:lang w:eastAsia="uk-UA"/>
        </w:rPr>
        <w:t xml:space="preserve">кті </w:t>
      </w:r>
      <w:r>
        <w:rPr>
          <w:rFonts w:ascii="Times New Roman" w:hAnsi="Times New Roman" w:eastAsia="Times New Roman"/>
          <w:color w:val="0D0D0D"/>
          <w:sz w:val="24"/>
          <w:szCs w:val="24"/>
          <w:highlight w:val="white"/>
          <w:lang w:eastAsia="uk-UA"/>
        </w:rPr>
        <w:t>47</w:t>
      </w:r>
      <w:r>
        <w:rPr>
          <w:rFonts w:ascii="Times New Roman" w:hAnsi="Times New Roman" w:eastAsia="Times New Roman"/>
          <w:b/>
          <w:color w:val="0D0D0D"/>
          <w:sz w:val="24"/>
          <w:szCs w:val="24"/>
          <w:highlight w:val="white"/>
          <w:lang w:eastAsia="uk-UA"/>
        </w:rPr>
        <w:t xml:space="preserve"> Особливостей:</w:t>
      </w:r>
    </w:p>
    <w:p>
      <w:pPr>
        <w:widowControl w:val="0"/>
        <w:spacing w:before="0" w:after="0" w:line="240" w:lineRule="auto"/>
        <w:ind w:firstLine="567"/>
        <w:jc w:val="both"/>
        <w:rPr>
          <w:rFonts w:ascii="Times New Roman" w:hAnsi="Times New Roman" w:eastAsia="Times New Roman"/>
          <w:color w:val="0D0D0D"/>
          <w:sz w:val="24"/>
          <w:szCs w:val="24"/>
          <w:highlight w:val="white"/>
          <w:lang w:eastAsia="uk-UA"/>
        </w:rPr>
      </w:pPr>
      <w:r>
        <w:rPr>
          <w:rFonts w:ascii="Times New Roman" w:hAnsi="Times New Roman" w:eastAsia="Times New Roman"/>
          <w:color w:val="0D0D0D"/>
          <w:sz w:val="24"/>
          <w:szCs w:val="24"/>
          <w:highlight w:val="white"/>
          <w:lang w:eastAsia="uk-UA"/>
        </w:rPr>
        <w:t xml:space="preserve">Переможець процедури закупівлі у строк, що </w:t>
      </w:r>
      <w:r>
        <w:rPr>
          <w:rFonts w:ascii="Times New Roman" w:hAnsi="Times New Roman" w:eastAsia="Times New Roman"/>
          <w:b/>
          <w:i/>
          <w:color w:val="0D0D0D"/>
          <w:sz w:val="24"/>
          <w:szCs w:val="24"/>
          <w:highlight w:val="white"/>
          <w:lang w:eastAsia="uk-UA"/>
        </w:rPr>
        <w:t xml:space="preserve">не перевищує чотири дні </w:t>
      </w:r>
      <w:r>
        <w:rPr>
          <w:rFonts w:ascii="Times New Roman" w:hAnsi="Times New Roman" w:eastAsia="Times New Roman"/>
          <w:color w:val="0D0D0D"/>
          <w:sz w:val="24"/>
          <w:szCs w:val="24"/>
          <w:highlight w:val="white"/>
          <w:lang w:eastAsia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>
      <w:pPr>
        <w:widowControl w:val="0"/>
        <w:spacing w:before="0" w:after="0" w:line="240" w:lineRule="auto"/>
        <w:ind w:firstLine="567"/>
        <w:jc w:val="both"/>
        <w:rPr>
          <w:rFonts w:ascii="Times New Roman" w:hAnsi="Times New Roman" w:eastAsia="Times New Roman"/>
          <w:color w:val="0D0D0D"/>
          <w:sz w:val="24"/>
          <w:szCs w:val="24"/>
          <w:highlight w:val="white"/>
          <w:lang w:val="ru-RU" w:eastAsia="uk-UA"/>
        </w:rPr>
      </w:pPr>
      <w:r>
        <w:rPr>
          <w:rFonts w:ascii="Times New Roman" w:hAnsi="Times New Roman" w:eastAsia="Times New Roman"/>
          <w:color w:val="0D0D0D"/>
          <w:sz w:val="24"/>
          <w:szCs w:val="24"/>
          <w:highlight w:val="white"/>
          <w:lang w:val="ru-RU" w:eastAsia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  <w:lang w:val="ru-RU"/>
        </w:rPr>
      </w:pPr>
    </w:p>
    <w:p>
      <w:pPr>
        <w:spacing w:before="0" w:after="0" w:line="240" w:lineRule="auto"/>
        <w:jc w:val="center"/>
      </w:pPr>
      <w:r>
        <w:rPr>
          <w:rFonts w:ascii="Times New Roman" w:hAnsi="Times New Roman"/>
          <w:b/>
          <w:color w:val="0D0D0D"/>
          <w:sz w:val="24"/>
          <w:szCs w:val="24"/>
        </w:rPr>
        <w:t>Документи, які надаються  ПЕРЕМОЖЦЕМ (юридичною особою)</w:t>
      </w:r>
    </w:p>
    <w:tbl>
      <w:tblPr>
        <w:tblStyle w:val="3"/>
        <w:tblW w:w="9360" w:type="dxa"/>
        <w:tblInd w:w="6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02"/>
        <w:gridCol w:w="4548"/>
        <w:gridCol w:w="411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30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ind w:right="142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№</w:t>
            </w:r>
          </w:p>
          <w:p>
            <w:pPr>
              <w:widowControl w:val="0"/>
              <w:spacing w:before="0" w:after="0" w:line="240" w:lineRule="auto"/>
              <w:ind w:right="142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п/п</w:t>
            </w:r>
          </w:p>
        </w:tc>
        <w:tc>
          <w:tcPr>
            <w:tcW w:w="4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ind w:right="142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Вимоги пункту 47 Особливостей</w:t>
            </w:r>
          </w:p>
          <w:p>
            <w:pPr>
              <w:widowControl w:val="0"/>
              <w:spacing w:before="0" w:after="0" w:line="240" w:lineRule="auto"/>
              <w:ind w:right="142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ind w:right="142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Переможець торгів на виконання вимоги пункту 47 Особливостей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43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hd w:val="clear" w:color="auto" w:fill="FFFFFF"/>
              <w:spacing w:before="0" w:after="15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керівника учасника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(підпункт 3, пункту 47 Особливостей)</w:t>
            </w:r>
          </w:p>
        </w:tc>
        <w:tc>
          <w:tcPr>
            <w:tcW w:w="4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5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widowControl w:val="0"/>
              <w:shd w:val="clear" w:color="auto" w:fill="FFFFFF"/>
              <w:spacing w:before="0" w:after="15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val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 (підпункт 6, пункту 47 Особливостей)</w:t>
            </w:r>
          </w:p>
        </w:tc>
        <w:tc>
          <w:tcPr>
            <w:tcW w:w="4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6" w:hRule="atLeast"/>
        </w:trPr>
        <w:tc>
          <w:tcPr>
            <w:tcW w:w="70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керівника учасника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людьми.;</w:t>
            </w: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(підпункт 12, пункту 47 Особливостей)</w:t>
            </w:r>
          </w:p>
        </w:tc>
        <w:tc>
          <w:tcPr>
            <w:tcW w:w="41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>
      <w:pPr>
        <w:spacing w:before="240"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Документи, які надаються ПЕРЕМОЖЦЕМ (фізичною особою)</w:t>
      </w:r>
    </w:p>
    <w:tbl>
      <w:tblPr>
        <w:tblStyle w:val="3"/>
        <w:tblW w:w="9405" w:type="dxa"/>
        <w:tblInd w:w="-1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60"/>
        <w:gridCol w:w="4678"/>
        <w:gridCol w:w="4067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25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№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Вимоги пункту 47 Особливостей</w:t>
            </w:r>
          </w:p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Переможець торгів на виконання вимоги пункту 47 Особливостей (підтвердження відсутності підстав) повинен надати таку інформацію: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23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hd w:val="clear" w:color="auto" w:fill="FFFFFF"/>
              <w:spacing w:before="0" w:after="15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 xml:space="preserve">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(підпункт 3, пункту 47 Особливостей)</w:t>
            </w:r>
          </w:p>
        </w:tc>
        <w:tc>
          <w:tcPr>
            <w:tcW w:w="4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156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hd w:val="clear" w:color="auto" w:fill="FFFFFF"/>
              <w:spacing w:before="0" w:after="15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val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</w:r>
          </w:p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 (підпункт 5, пункту 47 Особливостей)</w:t>
            </w:r>
          </w:p>
        </w:tc>
        <w:tc>
          <w:tcPr>
            <w:tcW w:w="4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71" w:hRule="atLeast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hd w:val="clear" w:color="auto" w:fill="FFFFFF"/>
              <w:spacing w:before="0" w:after="15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</w:rPr>
              <w:t>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 xml:space="preserve"> (підпункт 12, пункту 47 Особливостей)</w:t>
            </w:r>
          </w:p>
        </w:tc>
        <w:tc>
          <w:tcPr>
            <w:tcW w:w="4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 w:val="0"/>
              <w:spacing w:before="0" w:after="0" w:line="240" w:lineRule="auto"/>
              <w:ind w:right="140" w:firstLine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</w:tbl>
    <w:p>
      <w:pPr>
        <w:spacing w:before="0"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80A01"/>
    <w:multiLevelType w:val="singleLevel"/>
    <w:tmpl w:val="A6680A01"/>
    <w:lvl w:ilvl="0" w:tentative="0">
      <w:start w:val="17"/>
      <w:numFmt w:val="decimal"/>
      <w:suff w:val="space"/>
      <w:lvlText w:val="%1."/>
      <w:lvlJc w:val="left"/>
    </w:lvl>
  </w:abstractNum>
  <w:abstractNum w:abstractNumId="1">
    <w:nsid w:val="0BDF9E9E"/>
    <w:multiLevelType w:val="singleLevel"/>
    <w:tmpl w:val="0BDF9E9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1D406AE7"/>
    <w:rsid w:val="2EAE0297"/>
    <w:rsid w:val="2F561349"/>
    <w:rsid w:val="3356123E"/>
    <w:rsid w:val="3527357C"/>
    <w:rsid w:val="37AD5DCE"/>
    <w:rsid w:val="5C342679"/>
    <w:rsid w:val="6E332206"/>
    <w:rsid w:val="6FD74281"/>
    <w:rsid w:val="70905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/>
    </w:pPr>
  </w:style>
  <w:style w:type="paragraph" w:styleId="6">
    <w:name w:val="List"/>
    <w:basedOn w:val="5"/>
    <w:uiPriority w:val="0"/>
    <w:rPr>
      <w:rFonts w:cs="Arial"/>
    </w:rPr>
  </w:style>
  <w:style w:type="character" w:customStyle="1" w:styleId="7">
    <w:name w:val="Гіперпосилання"/>
    <w:semiHidden/>
    <w:unhideWhenUsed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8">
    <w:name w:val="Без интервала Знак"/>
    <w:qFormat/>
    <w:uiPriority w:val="1"/>
    <w:rPr>
      <w:rFonts w:ascii="Calibri" w:hAnsi="Calibri" w:cs="Calibri"/>
    </w:rPr>
  </w:style>
  <w:style w:type="character" w:customStyle="1" w:styleId="9">
    <w:name w:val="Символ нумерації"/>
    <w:qFormat/>
    <w:uiPriority w:val="0"/>
  </w:style>
  <w:style w:type="paragraph" w:customStyle="1" w:styleId="10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Покажчик"/>
    <w:basedOn w:val="1"/>
    <w:qFormat/>
    <w:uiPriority w:val="0"/>
    <w:pPr>
      <w:suppressLineNumbers/>
    </w:pPr>
    <w:rPr>
      <w:rFonts w:cs="Arial"/>
    </w:rPr>
  </w:style>
  <w:style w:type="paragraph" w:customStyle="1" w:styleId="12">
    <w:name w:val="rvps2"/>
    <w:basedOn w:val="1"/>
    <w:qFormat/>
    <w:uiPriority w:val="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13">
    <w:name w:val="No Spacing"/>
    <w:qFormat/>
    <w:uiPriority w:val="1"/>
    <w:pPr>
      <w:widowControl/>
      <w:suppressAutoHyphens/>
      <w:bidi w:val="0"/>
      <w:spacing w:before="0" w:after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737</Words>
  <Characters>5225</Characters>
  <Paragraphs>43</Paragraphs>
  <TotalTime>0</TotalTime>
  <ScaleCrop>false</ScaleCrop>
  <LinksUpToDate>false</LinksUpToDate>
  <CharactersWithSpaces>5970</CharactersWithSpaces>
  <Application>WPS Office_12.2.0.13416_F1E327BC-269C-435d-A152-05C5408002CA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2023-05-29T21:09:00Z</dcterms:created>
  <dc:creator>Женя</dc:creator>
  <cp:lastModifiedBy>Женя</cp:lastModifiedBy>
  <cp:lastPrinted>2023-10-02T15:04:00Z</cp:lastPrinted>
  <dcterms:modified xsi:type="dcterms:W3CDTF">2024-03-27T19:01:23Z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B9893FEAFB674E118A606BEDEFDAF24F_12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