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A" w:rsidRDefault="0095309A" w:rsidP="0095309A">
      <w:pPr>
        <w:suppressAutoHyphens w:val="0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Додаток 2</w:t>
      </w:r>
    </w:p>
    <w:p w:rsidR="00EE0412" w:rsidRDefault="00EE0412" w:rsidP="00EE0412">
      <w:pPr>
        <w:suppressAutoHyphens w:val="0"/>
        <w:spacing w:after="200"/>
        <w:ind w:left="708" w:firstLine="708"/>
        <w:contextualSpacing/>
        <w:rPr>
          <w:b/>
          <w:lang w:eastAsia="ru-RU"/>
        </w:rPr>
      </w:pPr>
      <w:r>
        <w:rPr>
          <w:b/>
          <w:lang w:eastAsia="ru-RU"/>
        </w:rPr>
        <w:t xml:space="preserve">                       </w:t>
      </w:r>
      <w:r w:rsidR="00343302">
        <w:rPr>
          <w:b/>
          <w:lang w:eastAsia="ru-RU"/>
        </w:rPr>
        <w:t>Інформація про т</w:t>
      </w:r>
      <w:r>
        <w:rPr>
          <w:b/>
          <w:lang w:eastAsia="ru-RU"/>
        </w:rPr>
        <w:t>ехнічні вимоги</w:t>
      </w:r>
    </w:p>
    <w:p w:rsidR="00B741C4" w:rsidRDefault="00EE0412" w:rsidP="00EE0412">
      <w:pPr>
        <w:suppressAutoHyphens w:val="0"/>
        <w:spacing w:after="200"/>
        <w:ind w:left="708" w:firstLine="708"/>
        <w:contextualSpacing/>
        <w:rPr>
          <w:b/>
          <w:bCs/>
          <w:lang w:eastAsia="ru-RU"/>
        </w:rPr>
      </w:pPr>
      <w:r>
        <w:rPr>
          <w:b/>
          <w:lang w:eastAsia="ru-RU"/>
        </w:rPr>
        <w:t xml:space="preserve">      </w:t>
      </w:r>
      <w:proofErr w:type="spellStart"/>
      <w:r w:rsidR="00B741C4" w:rsidRPr="00B741C4">
        <w:rPr>
          <w:b/>
          <w:lang w:eastAsia="ru-RU"/>
        </w:rPr>
        <w:t>ДК</w:t>
      </w:r>
      <w:proofErr w:type="spellEnd"/>
      <w:r w:rsidR="00B741C4" w:rsidRPr="00B741C4">
        <w:rPr>
          <w:b/>
          <w:lang w:eastAsia="ru-RU"/>
        </w:rPr>
        <w:t xml:space="preserve"> 021:2015</w:t>
      </w:r>
      <w:r w:rsidR="00B741C4" w:rsidRPr="00B741C4">
        <w:rPr>
          <w:lang w:eastAsia="ru-RU"/>
        </w:rPr>
        <w:t>,</w:t>
      </w:r>
      <w:r w:rsidR="00B741C4" w:rsidRPr="00B741C4">
        <w:rPr>
          <w:b/>
          <w:lang w:eastAsia="ru-RU"/>
        </w:rPr>
        <w:t xml:space="preserve"> код </w:t>
      </w:r>
      <w:r w:rsidR="00B741C4" w:rsidRPr="00B741C4">
        <w:rPr>
          <w:b/>
          <w:bCs/>
          <w:lang w:eastAsia="ru-RU"/>
        </w:rPr>
        <w:t>0</w:t>
      </w:r>
      <w:r w:rsidR="00343302">
        <w:rPr>
          <w:b/>
          <w:bCs/>
          <w:lang w:eastAsia="ru-RU"/>
        </w:rPr>
        <w:t>912</w:t>
      </w:r>
      <w:r w:rsidR="00B741C4" w:rsidRPr="00B741C4">
        <w:rPr>
          <w:b/>
          <w:bCs/>
          <w:lang w:eastAsia="ru-RU"/>
        </w:rPr>
        <w:t>0000-</w:t>
      </w:r>
      <w:r w:rsidR="00343302">
        <w:rPr>
          <w:b/>
          <w:bCs/>
          <w:lang w:eastAsia="ru-RU"/>
        </w:rPr>
        <w:t xml:space="preserve">6 </w:t>
      </w:r>
      <w:r w:rsidR="00B741C4" w:rsidRPr="00B741C4">
        <w:rPr>
          <w:b/>
          <w:bCs/>
          <w:lang w:eastAsia="ru-RU"/>
        </w:rPr>
        <w:t xml:space="preserve"> </w:t>
      </w:r>
      <w:r w:rsidR="00343302">
        <w:rPr>
          <w:b/>
          <w:bCs/>
          <w:lang w:eastAsia="ru-RU"/>
        </w:rPr>
        <w:t>Газове паливо (Природний газ)</w:t>
      </w:r>
    </w:p>
    <w:p w:rsidR="00B1622F" w:rsidRPr="00B1622F" w:rsidRDefault="00B1622F" w:rsidP="00B1622F">
      <w:pPr>
        <w:suppressAutoHyphens w:val="0"/>
        <w:spacing w:before="240" w:after="240"/>
        <w:ind w:firstLine="720"/>
        <w:contextualSpacing/>
        <w:jc w:val="both"/>
        <w:rPr>
          <w:lang w:eastAsia="ru-RU"/>
        </w:rPr>
      </w:pPr>
      <w:r w:rsidRPr="00B1622F">
        <w:rPr>
          <w:lang w:eastAsia="ru-RU"/>
        </w:rPr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B1622F" w:rsidRPr="00B1622F" w:rsidRDefault="00B1622F" w:rsidP="00B1622F">
      <w:pPr>
        <w:shd w:val="clear" w:color="auto" w:fill="FFFFFF"/>
        <w:suppressAutoHyphens w:val="0"/>
        <w:ind w:firstLine="460"/>
        <w:contextualSpacing/>
        <w:jc w:val="both"/>
        <w:rPr>
          <w:lang w:eastAsia="ru-RU"/>
        </w:rPr>
      </w:pPr>
      <w:r w:rsidRPr="00B1622F">
        <w:rPr>
          <w:b/>
          <w:bCs/>
          <w:lang w:eastAsia="ru-RU"/>
        </w:rPr>
        <w:t>Фактом подання тендерної пропозиції учасник підтверджує відповідність своєї пропозиції</w:t>
      </w:r>
      <w:r w:rsidRPr="00B1622F">
        <w:rPr>
          <w:lang w:eastAsia="ru-RU"/>
        </w:rPr>
        <w:t xml:space="preserve"> </w:t>
      </w:r>
      <w:r w:rsidRPr="00B1622F">
        <w:rPr>
          <w:b/>
          <w:bCs/>
          <w:lang w:eastAsia="ru-RU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поставки товару, у відповідності до вимог, визначених згідно з умовами тендерної документації.</w:t>
      </w:r>
    </w:p>
    <w:p w:rsidR="00B1622F" w:rsidRPr="00B741C4" w:rsidRDefault="00B1622F" w:rsidP="00EE0412">
      <w:pPr>
        <w:suppressAutoHyphens w:val="0"/>
        <w:spacing w:after="200"/>
        <w:ind w:left="708" w:firstLine="708"/>
        <w:contextualSpacing/>
        <w:rPr>
          <w:b/>
          <w:bCs/>
          <w:lang w:eastAsia="ru-RU"/>
        </w:rPr>
      </w:pPr>
    </w:p>
    <w:p w:rsidR="00343302" w:rsidRPr="00B1622F" w:rsidRDefault="00343302" w:rsidP="00343302">
      <w:pPr>
        <w:suppressAutoHyphens w:val="0"/>
        <w:jc w:val="both"/>
        <w:rPr>
          <w:b/>
          <w:lang w:eastAsia="uk-UA"/>
        </w:rPr>
      </w:pPr>
      <w:r>
        <w:rPr>
          <w:b/>
          <w:sz w:val="28"/>
          <w:szCs w:val="28"/>
          <w:lang w:eastAsia="uk-UA"/>
        </w:rPr>
        <w:t xml:space="preserve">          </w:t>
      </w:r>
      <w:r w:rsidRPr="00B1622F">
        <w:rPr>
          <w:b/>
          <w:lang w:eastAsia="uk-UA"/>
        </w:rPr>
        <w:t xml:space="preserve">1. Замовник: </w:t>
      </w:r>
    </w:p>
    <w:p w:rsidR="00343302" w:rsidRPr="00B1622F" w:rsidRDefault="00955871" w:rsidP="00343302">
      <w:pPr>
        <w:suppressAutoHyphens w:val="0"/>
        <w:jc w:val="both"/>
        <w:rPr>
          <w:lang w:eastAsia="uk-UA"/>
        </w:rPr>
      </w:pPr>
      <w:r>
        <w:rPr>
          <w:lang w:eastAsia="uk-UA"/>
        </w:rPr>
        <w:t xml:space="preserve">1.1. Найменування: </w:t>
      </w:r>
      <w:proofErr w:type="spellStart"/>
      <w:r>
        <w:rPr>
          <w:lang w:eastAsia="uk-UA"/>
        </w:rPr>
        <w:t>К</w:t>
      </w:r>
      <w:r w:rsidR="00343302" w:rsidRPr="00B1622F">
        <w:rPr>
          <w:lang w:eastAsia="uk-UA"/>
        </w:rPr>
        <w:t>П</w:t>
      </w:r>
      <w:proofErr w:type="spellEnd"/>
      <w:r w:rsidR="00343302" w:rsidRPr="00B1622F">
        <w:rPr>
          <w:lang w:eastAsia="uk-UA"/>
        </w:rPr>
        <w:t xml:space="preserve"> «</w:t>
      </w:r>
      <w:proofErr w:type="spellStart"/>
      <w:r w:rsidRPr="00955871">
        <w:rPr>
          <w:lang w:val="ru-RU" w:eastAsia="uk-UA"/>
        </w:rPr>
        <w:t>Те</w:t>
      </w:r>
      <w:r w:rsidR="00F82CC8">
        <w:rPr>
          <w:lang w:val="ru-RU" w:eastAsia="uk-UA"/>
        </w:rPr>
        <w:t>рнопільський</w:t>
      </w:r>
      <w:proofErr w:type="spellEnd"/>
      <w:r w:rsidR="00F82CC8">
        <w:rPr>
          <w:lang w:val="ru-RU" w:eastAsia="uk-UA"/>
        </w:rPr>
        <w:t xml:space="preserve"> </w:t>
      </w:r>
      <w:proofErr w:type="spellStart"/>
      <w:r w:rsidR="00F82CC8">
        <w:rPr>
          <w:lang w:val="ru-RU" w:eastAsia="uk-UA"/>
        </w:rPr>
        <w:t>міський</w:t>
      </w:r>
      <w:proofErr w:type="spellEnd"/>
      <w:r w:rsidR="00F82CC8">
        <w:rPr>
          <w:lang w:val="ru-RU" w:eastAsia="uk-UA"/>
        </w:rPr>
        <w:t xml:space="preserve"> </w:t>
      </w:r>
      <w:proofErr w:type="spellStart"/>
      <w:r w:rsidR="00F82CC8">
        <w:rPr>
          <w:lang w:val="ru-RU" w:eastAsia="uk-UA"/>
        </w:rPr>
        <w:t>лікувально-</w:t>
      </w:r>
      <w:r w:rsidRPr="00955871">
        <w:rPr>
          <w:lang w:val="ru-RU" w:eastAsia="uk-UA"/>
        </w:rPr>
        <w:t>діагностичний</w:t>
      </w:r>
      <w:proofErr w:type="spellEnd"/>
      <w:r w:rsidRPr="00955871">
        <w:rPr>
          <w:lang w:val="ru-RU" w:eastAsia="uk-UA"/>
        </w:rPr>
        <w:t xml:space="preserve"> центр</w:t>
      </w:r>
      <w:r w:rsidR="00343302" w:rsidRPr="00B1622F">
        <w:rPr>
          <w:lang w:eastAsia="uk-UA"/>
        </w:rPr>
        <w:t>»</w:t>
      </w:r>
      <w:r>
        <w:rPr>
          <w:lang w:eastAsia="uk-UA"/>
        </w:rPr>
        <w:t>ТМР</w:t>
      </w:r>
      <w:r w:rsidR="00343302" w:rsidRPr="00B1622F">
        <w:rPr>
          <w:lang w:eastAsia="uk-UA"/>
        </w:rPr>
        <w:t xml:space="preserve">  </w:t>
      </w:r>
    </w:p>
    <w:p w:rsidR="00343302" w:rsidRPr="00B1622F" w:rsidRDefault="00343302" w:rsidP="00343302">
      <w:pPr>
        <w:suppressAutoHyphens w:val="0"/>
        <w:jc w:val="both"/>
        <w:rPr>
          <w:lang w:eastAsia="uk-UA"/>
        </w:rPr>
      </w:pPr>
      <w:r w:rsidRPr="00B1622F">
        <w:rPr>
          <w:lang w:eastAsia="uk-UA"/>
        </w:rPr>
        <w:t xml:space="preserve">1.2. Код ЄДРПОУ: </w:t>
      </w:r>
      <w:r w:rsidR="00955871">
        <w:rPr>
          <w:lang w:eastAsia="uk-UA"/>
        </w:rPr>
        <w:t>40242851</w:t>
      </w:r>
    </w:p>
    <w:p w:rsidR="00343302" w:rsidRPr="00B1622F" w:rsidRDefault="00343302" w:rsidP="00343302">
      <w:pPr>
        <w:suppressAutoHyphens w:val="0"/>
        <w:jc w:val="both"/>
        <w:rPr>
          <w:lang w:eastAsia="uk-UA"/>
        </w:rPr>
      </w:pPr>
      <w:r w:rsidRPr="00B1622F">
        <w:rPr>
          <w:lang w:eastAsia="uk-UA"/>
        </w:rPr>
        <w:t xml:space="preserve">1.3. </w:t>
      </w:r>
      <w:r w:rsidR="00955871">
        <w:rPr>
          <w:lang w:eastAsia="uk-UA"/>
        </w:rPr>
        <w:t>Місцезнаходження: Україна, 46001, вул. Руська</w:t>
      </w:r>
      <w:r w:rsidRPr="00B1622F">
        <w:rPr>
          <w:lang w:eastAsia="uk-UA"/>
        </w:rPr>
        <w:t>,</w:t>
      </w:r>
      <w:r w:rsidR="00955871">
        <w:rPr>
          <w:lang w:eastAsia="uk-UA"/>
        </w:rPr>
        <w:t xml:space="preserve">47 </w:t>
      </w:r>
      <w:r w:rsidRPr="00B1622F">
        <w:rPr>
          <w:lang w:eastAsia="uk-UA"/>
        </w:rPr>
        <w:t>м. Тернопіль.</w:t>
      </w:r>
    </w:p>
    <w:p w:rsidR="00343302" w:rsidRPr="00B1622F" w:rsidRDefault="00343302" w:rsidP="00343302">
      <w:pPr>
        <w:suppressAutoHyphens w:val="0"/>
        <w:jc w:val="both"/>
        <w:rPr>
          <w:lang w:eastAsia="uk-UA"/>
        </w:rPr>
      </w:pPr>
      <w:r w:rsidRPr="00B1622F">
        <w:rPr>
          <w:lang w:eastAsia="uk-UA"/>
        </w:rPr>
        <w:t xml:space="preserve">1.4.  Особа замовника, уповноважена здійснювати зв’язок з учасниками: </w:t>
      </w:r>
    </w:p>
    <w:p w:rsidR="00343302" w:rsidRPr="00B1622F" w:rsidRDefault="00343302" w:rsidP="00343302">
      <w:pPr>
        <w:suppressAutoHyphens w:val="0"/>
        <w:jc w:val="both"/>
        <w:rPr>
          <w:lang w:eastAsia="uk-UA"/>
        </w:rPr>
      </w:pPr>
      <w:r w:rsidRPr="00B1622F">
        <w:rPr>
          <w:lang w:eastAsia="uk-UA"/>
        </w:rPr>
        <w:t>тел. (0352)</w:t>
      </w:r>
      <w:r w:rsidR="00955871">
        <w:rPr>
          <w:lang w:eastAsia="uk-UA"/>
        </w:rPr>
        <w:t>52-23-68</w:t>
      </w:r>
      <w:r w:rsidRPr="00B1622F">
        <w:rPr>
          <w:lang w:eastAsia="uk-UA"/>
        </w:rPr>
        <w:t xml:space="preserve"> </w:t>
      </w:r>
      <w:r w:rsidR="00955871">
        <w:rPr>
          <w:lang w:eastAsia="uk-UA"/>
        </w:rPr>
        <w:t>Рогів Зоряна Володимирівна</w:t>
      </w:r>
      <w:r w:rsidRPr="00B1622F">
        <w:rPr>
          <w:lang w:eastAsia="uk-UA"/>
        </w:rPr>
        <w:t>.</w:t>
      </w:r>
    </w:p>
    <w:p w:rsidR="00343302" w:rsidRPr="00B1622F" w:rsidRDefault="00343302" w:rsidP="00343302">
      <w:pPr>
        <w:suppressAutoHyphens w:val="0"/>
        <w:jc w:val="both"/>
        <w:rPr>
          <w:lang w:eastAsia="uk-UA"/>
        </w:rPr>
      </w:pPr>
      <w:r w:rsidRPr="00B1622F">
        <w:rPr>
          <w:b/>
          <w:lang w:eastAsia="uk-UA"/>
        </w:rPr>
        <w:tab/>
        <w:t xml:space="preserve">2. Інформація про предмет закупівлі. </w:t>
      </w:r>
    </w:p>
    <w:p w:rsidR="00343302" w:rsidRPr="00B1622F" w:rsidRDefault="00343302" w:rsidP="00343302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ru-RU"/>
        </w:rPr>
      </w:pPr>
      <w:r w:rsidRPr="00B1622F">
        <w:rPr>
          <w:color w:val="000000"/>
          <w:lang w:eastAsia="ru-RU"/>
        </w:rPr>
        <w:t>3.1. Найменування предмета закупівлі:</w:t>
      </w:r>
      <w:r w:rsidRPr="00B1622F">
        <w:rPr>
          <w:b/>
          <w:color w:val="000000"/>
          <w:lang w:eastAsia="ru-RU"/>
        </w:rPr>
        <w:t xml:space="preserve"> </w:t>
      </w:r>
      <w:r w:rsidRPr="00B1622F">
        <w:rPr>
          <w:b/>
          <w:color w:val="000000"/>
          <w:lang w:val="ru-RU" w:eastAsia="ru-RU"/>
        </w:rPr>
        <w:t xml:space="preserve">ДК 021:2015: 09120000-6 </w:t>
      </w:r>
      <w:r w:rsidRPr="00B1622F">
        <w:rPr>
          <w:b/>
          <w:color w:val="000000"/>
          <w:lang w:eastAsia="ru-RU"/>
        </w:rPr>
        <w:t xml:space="preserve"> </w:t>
      </w:r>
      <w:proofErr w:type="spellStart"/>
      <w:r w:rsidRPr="00B1622F">
        <w:rPr>
          <w:b/>
          <w:color w:val="000000"/>
          <w:lang w:val="ru-RU" w:eastAsia="ru-RU"/>
        </w:rPr>
        <w:t>Газове</w:t>
      </w:r>
      <w:proofErr w:type="spellEnd"/>
      <w:r w:rsidRPr="00B1622F">
        <w:rPr>
          <w:b/>
          <w:color w:val="000000"/>
          <w:lang w:val="ru-RU" w:eastAsia="ru-RU"/>
        </w:rPr>
        <w:t xml:space="preserve"> </w:t>
      </w:r>
      <w:proofErr w:type="spellStart"/>
      <w:r w:rsidRPr="00B1622F">
        <w:rPr>
          <w:b/>
          <w:color w:val="000000"/>
          <w:lang w:val="ru-RU" w:eastAsia="ru-RU"/>
        </w:rPr>
        <w:t>паливо</w:t>
      </w:r>
      <w:proofErr w:type="spellEnd"/>
      <w:r w:rsidRPr="00B1622F">
        <w:rPr>
          <w:b/>
          <w:color w:val="000000"/>
          <w:lang w:eastAsia="ru-RU"/>
        </w:rPr>
        <w:t xml:space="preserve"> (Природний газ)</w:t>
      </w:r>
    </w:p>
    <w:p w:rsidR="00343302" w:rsidRPr="00B1622F" w:rsidRDefault="00343302" w:rsidP="00343302">
      <w:pPr>
        <w:suppressAutoHyphens w:val="0"/>
        <w:rPr>
          <w:lang w:eastAsia="uk-UA"/>
        </w:rPr>
      </w:pPr>
      <w:r w:rsidRPr="00B1622F">
        <w:rPr>
          <w:lang w:eastAsia="uk-UA"/>
        </w:rPr>
        <w:tab/>
        <w:t>Кількість товарів або обсяг виконання робіт чи надання послуг:</w:t>
      </w:r>
      <w:r w:rsidRPr="00B1622F">
        <w:rPr>
          <w:b/>
          <w:lang w:eastAsia="uk-UA"/>
        </w:rPr>
        <w:t xml:space="preserve"> </w:t>
      </w:r>
      <w:r w:rsidR="00655509" w:rsidRPr="00A201D5">
        <w:rPr>
          <w:b/>
          <w:lang w:val="ru-RU" w:eastAsia="uk-UA"/>
        </w:rPr>
        <w:t>10 641</w:t>
      </w:r>
      <w:r w:rsidRPr="00A201D5">
        <w:rPr>
          <w:b/>
          <w:lang w:eastAsia="uk-UA"/>
        </w:rPr>
        <w:t>м</w:t>
      </w:r>
      <w:r w:rsidRPr="00A201D5">
        <w:rPr>
          <w:b/>
          <w:vertAlign w:val="superscript"/>
          <w:lang w:eastAsia="uk-UA"/>
        </w:rPr>
        <w:t>3</w:t>
      </w:r>
      <w:r w:rsidRPr="00B1622F">
        <w:rPr>
          <w:b/>
          <w:lang w:eastAsia="uk-UA"/>
        </w:rPr>
        <w:t>.</w:t>
      </w:r>
    </w:p>
    <w:p w:rsidR="00343302" w:rsidRPr="00B1622F" w:rsidRDefault="00343302" w:rsidP="00343302">
      <w:pPr>
        <w:suppressAutoHyphens w:val="0"/>
        <w:jc w:val="both"/>
        <w:rPr>
          <w:lang w:eastAsia="zh-CN"/>
        </w:rPr>
      </w:pPr>
      <w:r w:rsidRPr="00B1622F">
        <w:rPr>
          <w:lang w:eastAsia="zh-CN"/>
        </w:rPr>
        <w:tab/>
        <w:t>Фізико-хімічні показники газу розраховані за ДСТУ ISO 6976:2009 та повинні відповідати нижче вказаним показникам за ДСТУ 5542-87:</w:t>
      </w:r>
    </w:p>
    <w:p w:rsidR="00343302" w:rsidRPr="00B1622F" w:rsidRDefault="00343302" w:rsidP="00343302">
      <w:pPr>
        <w:suppressAutoHyphens w:val="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8"/>
        <w:gridCol w:w="2213"/>
        <w:gridCol w:w="2517"/>
      </w:tblGrid>
      <w:tr w:rsidR="00343302" w:rsidRPr="00B1622F" w:rsidTr="00143858">
        <w:trPr>
          <w:trHeight w:val="270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 xml:space="preserve">Фізико-хімічні показники газу </w:t>
            </w:r>
          </w:p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 xml:space="preserve">(при 25 ⁰С/20 ⁰С, 101, 325 </w:t>
            </w:r>
            <w:proofErr w:type="spellStart"/>
            <w:r w:rsidRPr="00B1622F">
              <w:rPr>
                <w:color w:val="000000"/>
                <w:lang w:eastAsia="uk-UA"/>
              </w:rPr>
              <w:t>кПа</w:t>
            </w:r>
            <w:proofErr w:type="spellEnd"/>
            <w:r w:rsidRPr="00B1622F">
              <w:rPr>
                <w:color w:val="000000"/>
                <w:lang w:eastAsia="uk-UA"/>
              </w:rPr>
              <w:t>)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>Значення</w:t>
            </w:r>
          </w:p>
        </w:tc>
      </w:tr>
      <w:tr w:rsidR="00343302" w:rsidRPr="00B1622F" w:rsidTr="0014385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proofErr w:type="spellStart"/>
            <w:r w:rsidRPr="00B1622F">
              <w:rPr>
                <w:color w:val="000000"/>
                <w:lang w:eastAsia="uk-UA"/>
              </w:rPr>
              <w:t>МДж</w:t>
            </w:r>
            <w:proofErr w:type="spellEnd"/>
            <w:r w:rsidRPr="00B1622F">
              <w:rPr>
                <w:color w:val="000000"/>
                <w:lang w:eastAsia="uk-UA"/>
              </w:rPr>
              <w:t>/ м3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>ккал/ м3</w:t>
            </w:r>
          </w:p>
        </w:tc>
      </w:tr>
      <w:tr w:rsidR="00343302" w:rsidRPr="00B1622F" w:rsidTr="00143858">
        <w:trPr>
          <w:trHeight w:val="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>Теплота згорання нижча, не менше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 xml:space="preserve">  31,80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>7600</w:t>
            </w:r>
          </w:p>
        </w:tc>
      </w:tr>
      <w:tr w:rsidR="00343302" w:rsidRPr="00B1622F" w:rsidTr="00143858">
        <w:trPr>
          <w:trHeight w:val="2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 xml:space="preserve">Число </w:t>
            </w:r>
            <w:proofErr w:type="spellStart"/>
            <w:r w:rsidRPr="00B1622F">
              <w:rPr>
                <w:color w:val="000000"/>
                <w:lang w:eastAsia="uk-UA"/>
              </w:rPr>
              <w:t>Воббе</w:t>
            </w:r>
            <w:proofErr w:type="spellEnd"/>
            <w:r w:rsidRPr="00B1622F">
              <w:rPr>
                <w:color w:val="000000"/>
                <w:lang w:eastAsia="uk-UA"/>
              </w:rPr>
              <w:t xml:space="preserve"> вище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>41,2-54,5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>9850-13000</w:t>
            </w:r>
          </w:p>
        </w:tc>
      </w:tr>
    </w:tbl>
    <w:p w:rsidR="00343302" w:rsidRPr="00B1622F" w:rsidRDefault="00343302" w:rsidP="00343302">
      <w:pPr>
        <w:suppressAutoHyphens w:val="0"/>
        <w:rPr>
          <w:color w:val="000000"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  <w:gridCol w:w="2376"/>
      </w:tblGrid>
      <w:tr w:rsidR="00343302" w:rsidRPr="00B1622F" w:rsidTr="00143858">
        <w:trPr>
          <w:trHeight w:val="375"/>
        </w:trPr>
        <w:tc>
          <w:tcPr>
            <w:tcW w:w="9747" w:type="dxa"/>
            <w:gridSpan w:val="2"/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ab/>
              <w:t>Технічні показники газу</w:t>
            </w:r>
          </w:p>
        </w:tc>
      </w:tr>
      <w:tr w:rsidR="00343302" w:rsidRPr="00B1622F" w:rsidTr="00143858">
        <w:tblPrEx>
          <w:tblLook w:val="04A0"/>
        </w:tblPrEx>
        <w:trPr>
          <w:trHeight w:val="26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>Масова концентрація сірководню г/м3 не більше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>0,02</w:t>
            </w:r>
          </w:p>
        </w:tc>
      </w:tr>
      <w:tr w:rsidR="00343302" w:rsidRPr="00B1622F" w:rsidTr="00143858">
        <w:tblPrEx>
          <w:tblLook w:val="04A0"/>
        </w:tblPrEx>
        <w:trPr>
          <w:trHeight w:val="26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 xml:space="preserve">Масова концентрація </w:t>
            </w:r>
            <w:proofErr w:type="spellStart"/>
            <w:r w:rsidRPr="00B1622F">
              <w:rPr>
                <w:color w:val="000000"/>
                <w:lang w:eastAsia="uk-UA"/>
              </w:rPr>
              <w:t>меркаптанової</w:t>
            </w:r>
            <w:proofErr w:type="spellEnd"/>
            <w:r w:rsidRPr="00B1622F">
              <w:rPr>
                <w:color w:val="000000"/>
                <w:lang w:eastAsia="uk-UA"/>
              </w:rPr>
              <w:t xml:space="preserve"> сірки г/м3 не більше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>0,036</w:t>
            </w:r>
          </w:p>
        </w:tc>
      </w:tr>
      <w:tr w:rsidR="00343302" w:rsidRPr="00B1622F" w:rsidTr="00143858">
        <w:tblPrEx>
          <w:tblLook w:val="04A0"/>
        </w:tblPrEx>
        <w:trPr>
          <w:trHeight w:val="2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>Маса (вміст) механічних домішок, в 1 г/м3 не більше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2" w:rsidRPr="00B1622F" w:rsidRDefault="00343302" w:rsidP="00343302">
            <w:pPr>
              <w:suppressAutoHyphens w:val="0"/>
              <w:rPr>
                <w:color w:val="000000"/>
                <w:lang w:eastAsia="uk-UA"/>
              </w:rPr>
            </w:pPr>
            <w:r w:rsidRPr="00B1622F">
              <w:rPr>
                <w:color w:val="000000"/>
                <w:lang w:eastAsia="uk-UA"/>
              </w:rPr>
              <w:t>0,001</w:t>
            </w:r>
          </w:p>
        </w:tc>
      </w:tr>
    </w:tbl>
    <w:p w:rsidR="00343302" w:rsidRPr="00B1622F" w:rsidRDefault="00343302" w:rsidP="00343302">
      <w:pPr>
        <w:suppressAutoHyphens w:val="0"/>
        <w:jc w:val="both"/>
        <w:rPr>
          <w:lang w:eastAsia="zh-CN"/>
        </w:rPr>
      </w:pPr>
      <w:r w:rsidRPr="00B1622F">
        <w:rPr>
          <w:lang w:eastAsia="zh-CN"/>
        </w:rPr>
        <w:t xml:space="preserve"> </w:t>
      </w:r>
    </w:p>
    <w:p w:rsidR="00343302" w:rsidRPr="00B1622F" w:rsidRDefault="00343302" w:rsidP="00343302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B1622F">
        <w:rPr>
          <w:b/>
          <w:color w:val="000000"/>
          <w:lang w:eastAsia="ru-RU"/>
        </w:rPr>
        <w:tab/>
      </w:r>
      <w:r w:rsidRPr="00B1622F">
        <w:rPr>
          <w:b/>
          <w:color w:val="000000"/>
          <w:lang w:val="ru-RU" w:eastAsia="ru-RU"/>
        </w:rPr>
        <w:t>4</w:t>
      </w:r>
      <w:r w:rsidRPr="00B1622F">
        <w:rPr>
          <w:b/>
          <w:color w:val="000000"/>
          <w:lang w:eastAsia="ru-RU"/>
        </w:rPr>
        <w:t xml:space="preserve">. </w:t>
      </w:r>
      <w:proofErr w:type="spellStart"/>
      <w:r w:rsidRPr="00B1622F">
        <w:rPr>
          <w:b/>
          <w:bCs/>
          <w:color w:val="000000"/>
          <w:lang w:val="ru-RU" w:eastAsia="ru-RU"/>
        </w:rPr>
        <w:t>Технічні</w:t>
      </w:r>
      <w:proofErr w:type="spellEnd"/>
      <w:r w:rsidRPr="00B1622F">
        <w:rPr>
          <w:b/>
          <w:bCs/>
          <w:color w:val="000000"/>
          <w:lang w:val="ru-RU" w:eastAsia="ru-RU"/>
        </w:rPr>
        <w:t xml:space="preserve"> </w:t>
      </w:r>
      <w:proofErr w:type="spellStart"/>
      <w:r w:rsidRPr="00B1622F">
        <w:rPr>
          <w:b/>
          <w:bCs/>
          <w:color w:val="000000"/>
          <w:lang w:val="ru-RU" w:eastAsia="ru-RU"/>
        </w:rPr>
        <w:t>умови</w:t>
      </w:r>
      <w:proofErr w:type="spellEnd"/>
      <w:r w:rsidRPr="00B1622F">
        <w:rPr>
          <w:b/>
          <w:bCs/>
          <w:color w:val="000000"/>
          <w:lang w:val="ru-RU" w:eastAsia="ru-RU"/>
        </w:rPr>
        <w:t xml:space="preserve"> та </w:t>
      </w:r>
      <w:proofErr w:type="spellStart"/>
      <w:r w:rsidRPr="00B1622F">
        <w:rPr>
          <w:b/>
          <w:bCs/>
          <w:color w:val="000000"/>
          <w:lang w:val="ru-RU" w:eastAsia="ru-RU"/>
        </w:rPr>
        <w:t>вимоги</w:t>
      </w:r>
      <w:proofErr w:type="spellEnd"/>
      <w:r w:rsidRPr="00B1622F">
        <w:rPr>
          <w:b/>
          <w:bCs/>
          <w:color w:val="000000"/>
          <w:lang w:eastAsia="ru-RU"/>
        </w:rPr>
        <w:t>:</w:t>
      </w:r>
    </w:p>
    <w:p w:rsidR="00343302" w:rsidRPr="00B1622F" w:rsidRDefault="00343302" w:rsidP="00B1622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B1622F">
        <w:rPr>
          <w:color w:val="000000"/>
          <w:lang w:eastAsia="ru-RU"/>
        </w:rPr>
        <w:t>4.</w:t>
      </w:r>
      <w:r w:rsidRPr="00B1622F">
        <w:rPr>
          <w:color w:val="000000"/>
          <w:lang w:val="ru-RU" w:eastAsia="ru-RU"/>
        </w:rPr>
        <w:t xml:space="preserve">1. </w:t>
      </w:r>
      <w:proofErr w:type="spellStart"/>
      <w:r w:rsidRPr="00B1622F">
        <w:rPr>
          <w:color w:val="000000"/>
          <w:lang w:val="ru-RU" w:eastAsia="ru-RU"/>
        </w:rPr>
        <w:t>Місце</w:t>
      </w:r>
      <w:proofErr w:type="spellEnd"/>
      <w:r w:rsidRPr="00B1622F">
        <w:rPr>
          <w:color w:val="000000"/>
          <w:lang w:val="ru-RU" w:eastAsia="ru-RU"/>
        </w:rPr>
        <w:t xml:space="preserve"> поставки </w:t>
      </w:r>
      <w:proofErr w:type="spellStart"/>
      <w:r w:rsidRPr="00B1622F">
        <w:rPr>
          <w:color w:val="000000"/>
          <w:lang w:val="ru-RU" w:eastAsia="ru-RU"/>
        </w:rPr>
        <w:t>товарів</w:t>
      </w:r>
      <w:proofErr w:type="spellEnd"/>
      <w:r w:rsidRPr="00B1622F">
        <w:rPr>
          <w:color w:val="000000"/>
          <w:lang w:val="ru-RU" w:eastAsia="ru-RU"/>
        </w:rPr>
        <w:t xml:space="preserve"> </w:t>
      </w:r>
      <w:proofErr w:type="spellStart"/>
      <w:r w:rsidRPr="00B1622F">
        <w:rPr>
          <w:color w:val="000000"/>
          <w:lang w:val="ru-RU" w:eastAsia="ru-RU"/>
        </w:rPr>
        <w:t>або</w:t>
      </w:r>
      <w:proofErr w:type="spellEnd"/>
      <w:r w:rsidRPr="00B1622F">
        <w:rPr>
          <w:color w:val="000000"/>
          <w:lang w:val="ru-RU" w:eastAsia="ru-RU"/>
        </w:rPr>
        <w:t xml:space="preserve"> </w:t>
      </w:r>
      <w:proofErr w:type="spellStart"/>
      <w:r w:rsidRPr="00B1622F">
        <w:rPr>
          <w:color w:val="000000"/>
          <w:lang w:val="ru-RU" w:eastAsia="ru-RU"/>
        </w:rPr>
        <w:t>місце</w:t>
      </w:r>
      <w:proofErr w:type="spellEnd"/>
      <w:r w:rsidRPr="00B1622F">
        <w:rPr>
          <w:color w:val="000000"/>
          <w:lang w:val="ru-RU" w:eastAsia="ru-RU"/>
        </w:rPr>
        <w:t xml:space="preserve"> </w:t>
      </w:r>
      <w:proofErr w:type="spellStart"/>
      <w:r w:rsidRPr="00B1622F">
        <w:rPr>
          <w:color w:val="000000"/>
          <w:lang w:val="ru-RU" w:eastAsia="ru-RU"/>
        </w:rPr>
        <w:t>виконання</w:t>
      </w:r>
      <w:proofErr w:type="spellEnd"/>
      <w:r w:rsidRPr="00B1622F">
        <w:rPr>
          <w:color w:val="000000"/>
          <w:lang w:val="ru-RU" w:eastAsia="ru-RU"/>
        </w:rPr>
        <w:t xml:space="preserve"> </w:t>
      </w:r>
      <w:proofErr w:type="spellStart"/>
      <w:r w:rsidRPr="00B1622F">
        <w:rPr>
          <w:color w:val="000000"/>
          <w:lang w:val="ru-RU" w:eastAsia="ru-RU"/>
        </w:rPr>
        <w:t>робіт</w:t>
      </w:r>
      <w:proofErr w:type="spellEnd"/>
      <w:r w:rsidRPr="00B1622F">
        <w:rPr>
          <w:color w:val="000000"/>
          <w:lang w:val="ru-RU" w:eastAsia="ru-RU"/>
        </w:rPr>
        <w:t xml:space="preserve"> </w:t>
      </w:r>
      <w:proofErr w:type="spellStart"/>
      <w:r w:rsidRPr="00B1622F">
        <w:rPr>
          <w:color w:val="000000"/>
          <w:lang w:val="ru-RU" w:eastAsia="ru-RU"/>
        </w:rPr>
        <w:t>чи</w:t>
      </w:r>
      <w:proofErr w:type="spellEnd"/>
      <w:r w:rsidRPr="00B1622F">
        <w:rPr>
          <w:color w:val="000000"/>
          <w:lang w:val="ru-RU" w:eastAsia="ru-RU"/>
        </w:rPr>
        <w:t xml:space="preserve"> </w:t>
      </w:r>
      <w:proofErr w:type="spellStart"/>
      <w:r w:rsidRPr="00B1622F">
        <w:rPr>
          <w:color w:val="000000"/>
          <w:lang w:val="ru-RU" w:eastAsia="ru-RU"/>
        </w:rPr>
        <w:t>надання</w:t>
      </w:r>
      <w:proofErr w:type="spellEnd"/>
      <w:r w:rsidRPr="00B1622F">
        <w:rPr>
          <w:color w:val="000000"/>
          <w:lang w:val="ru-RU" w:eastAsia="ru-RU"/>
        </w:rPr>
        <w:t xml:space="preserve"> </w:t>
      </w:r>
      <w:proofErr w:type="spellStart"/>
      <w:r w:rsidRPr="00B1622F">
        <w:rPr>
          <w:color w:val="000000"/>
          <w:lang w:val="ru-RU" w:eastAsia="ru-RU"/>
        </w:rPr>
        <w:t>послуг</w:t>
      </w:r>
      <w:proofErr w:type="spellEnd"/>
      <w:r w:rsidRPr="00B1622F">
        <w:rPr>
          <w:color w:val="000000"/>
          <w:lang w:val="ru-RU" w:eastAsia="ru-RU"/>
        </w:rPr>
        <w:t>:</w:t>
      </w:r>
    </w:p>
    <w:p w:rsidR="00343302" w:rsidRPr="00B1622F" w:rsidRDefault="00343302" w:rsidP="00343302">
      <w:pPr>
        <w:suppressAutoHyphens w:val="0"/>
        <w:autoSpaceDE w:val="0"/>
        <w:autoSpaceDN w:val="0"/>
        <w:adjustRightInd w:val="0"/>
        <w:jc w:val="both"/>
        <w:rPr>
          <w:b/>
          <w:color w:val="000000"/>
          <w:u w:val="single"/>
          <w:lang w:eastAsia="ru-RU"/>
        </w:rPr>
      </w:pPr>
      <w:r w:rsidRPr="00B1622F">
        <w:rPr>
          <w:b/>
          <w:color w:val="000000"/>
          <w:lang w:val="ru-RU" w:eastAsia="ru-RU"/>
        </w:rPr>
        <w:t>460</w:t>
      </w:r>
      <w:r w:rsidR="00D74750" w:rsidRPr="00E73757">
        <w:rPr>
          <w:b/>
          <w:color w:val="000000"/>
          <w:lang w:val="ru-RU" w:eastAsia="ru-RU"/>
        </w:rPr>
        <w:t>01</w:t>
      </w:r>
      <w:r w:rsidRPr="00B1622F">
        <w:rPr>
          <w:b/>
          <w:color w:val="000000"/>
          <w:lang w:eastAsia="ru-RU"/>
        </w:rPr>
        <w:t xml:space="preserve">, </w:t>
      </w:r>
      <w:r w:rsidRPr="00B1622F">
        <w:rPr>
          <w:b/>
          <w:color w:val="000000"/>
          <w:lang w:val="ru-RU" w:eastAsia="ru-RU"/>
        </w:rPr>
        <w:t xml:space="preserve">м. </w:t>
      </w:r>
      <w:proofErr w:type="spellStart"/>
      <w:r w:rsidRPr="00B1622F">
        <w:rPr>
          <w:b/>
          <w:color w:val="000000"/>
          <w:lang w:val="ru-RU" w:eastAsia="ru-RU"/>
        </w:rPr>
        <w:t>Тернопіль</w:t>
      </w:r>
      <w:proofErr w:type="spellEnd"/>
      <w:r w:rsidRPr="00B1622F">
        <w:rPr>
          <w:b/>
          <w:color w:val="000000"/>
          <w:lang w:eastAsia="ru-RU"/>
        </w:rPr>
        <w:t>,</w:t>
      </w:r>
      <w:r w:rsidRPr="00B1622F">
        <w:rPr>
          <w:b/>
          <w:color w:val="000000"/>
          <w:lang w:val="ru-RU" w:eastAsia="ru-RU"/>
        </w:rPr>
        <w:t xml:space="preserve"> </w:t>
      </w:r>
      <w:proofErr w:type="spellStart"/>
      <w:r w:rsidRPr="00B1622F">
        <w:rPr>
          <w:b/>
          <w:color w:val="000000"/>
          <w:lang w:val="ru-RU" w:eastAsia="ru-RU"/>
        </w:rPr>
        <w:t>вул</w:t>
      </w:r>
      <w:proofErr w:type="spellEnd"/>
      <w:r w:rsidRPr="00B1622F">
        <w:rPr>
          <w:b/>
          <w:color w:val="000000"/>
          <w:lang w:val="ru-RU" w:eastAsia="ru-RU"/>
        </w:rPr>
        <w:t xml:space="preserve">. </w:t>
      </w:r>
      <w:r w:rsidRPr="00B1622F">
        <w:rPr>
          <w:b/>
          <w:color w:val="000000"/>
          <w:lang w:eastAsia="ru-RU"/>
        </w:rPr>
        <w:t>Р</w:t>
      </w:r>
      <w:r w:rsidR="00955871">
        <w:rPr>
          <w:b/>
          <w:color w:val="000000"/>
          <w:lang w:eastAsia="ru-RU"/>
        </w:rPr>
        <w:t>уська,47</w:t>
      </w:r>
    </w:p>
    <w:p w:rsidR="00343302" w:rsidRPr="00B1622F" w:rsidRDefault="00343302" w:rsidP="00343302">
      <w:pPr>
        <w:suppressAutoHyphens w:val="0"/>
        <w:rPr>
          <w:b/>
          <w:lang w:eastAsia="uk-UA"/>
        </w:rPr>
      </w:pPr>
      <w:r w:rsidRPr="00B1622F">
        <w:rPr>
          <w:lang w:eastAsia="uk-UA"/>
        </w:rPr>
        <w:t xml:space="preserve">4.2. Строк поставки товарів, виконання робіт чи надання послуг: </w:t>
      </w:r>
      <w:r w:rsidRPr="00B1622F">
        <w:rPr>
          <w:b/>
          <w:lang w:eastAsia="uk-UA"/>
        </w:rPr>
        <w:t xml:space="preserve">з </w:t>
      </w:r>
      <w:r w:rsidR="00E73757">
        <w:rPr>
          <w:b/>
          <w:lang w:eastAsia="uk-UA"/>
        </w:rPr>
        <w:t>01.</w:t>
      </w:r>
      <w:r w:rsidR="00242D83" w:rsidRPr="00242D83">
        <w:rPr>
          <w:b/>
          <w:lang w:val="ru-RU" w:eastAsia="uk-UA"/>
        </w:rPr>
        <w:t>01</w:t>
      </w:r>
      <w:r w:rsidR="00242D83">
        <w:rPr>
          <w:b/>
          <w:lang w:eastAsia="uk-UA"/>
        </w:rPr>
        <w:t>.202</w:t>
      </w:r>
      <w:r w:rsidR="00242D83" w:rsidRPr="00242D83">
        <w:rPr>
          <w:b/>
          <w:lang w:val="ru-RU" w:eastAsia="uk-UA"/>
        </w:rPr>
        <w:t>4</w:t>
      </w:r>
      <w:r w:rsidR="00A062ED" w:rsidRPr="00B1622F">
        <w:rPr>
          <w:b/>
          <w:lang w:eastAsia="uk-UA"/>
        </w:rPr>
        <w:t xml:space="preserve"> до</w:t>
      </w:r>
      <w:r w:rsidRPr="00B1622F">
        <w:rPr>
          <w:lang w:eastAsia="uk-UA"/>
        </w:rPr>
        <w:t xml:space="preserve"> </w:t>
      </w:r>
      <w:r w:rsidR="00242D83">
        <w:rPr>
          <w:b/>
          <w:lang w:eastAsia="uk-UA"/>
        </w:rPr>
        <w:t xml:space="preserve"> </w:t>
      </w:r>
      <w:r w:rsidR="00242D83" w:rsidRPr="00242D83">
        <w:rPr>
          <w:b/>
          <w:lang w:val="ru-RU" w:eastAsia="uk-UA"/>
        </w:rPr>
        <w:t>15</w:t>
      </w:r>
      <w:r w:rsidRPr="00B1622F">
        <w:rPr>
          <w:b/>
          <w:lang w:eastAsia="uk-UA"/>
        </w:rPr>
        <w:t>.</w:t>
      </w:r>
      <w:r w:rsidR="00242D83" w:rsidRPr="00242D83">
        <w:rPr>
          <w:b/>
          <w:lang w:val="ru-RU" w:eastAsia="uk-UA"/>
        </w:rPr>
        <w:t>04</w:t>
      </w:r>
      <w:r w:rsidRPr="00B1622F">
        <w:rPr>
          <w:b/>
          <w:lang w:eastAsia="uk-UA"/>
        </w:rPr>
        <w:t>.202</w:t>
      </w:r>
      <w:r w:rsidR="00242D83" w:rsidRPr="00242D83">
        <w:rPr>
          <w:b/>
          <w:lang w:val="ru-RU" w:eastAsia="uk-UA"/>
        </w:rPr>
        <w:t>4</w:t>
      </w:r>
      <w:r w:rsidRPr="00B1622F">
        <w:rPr>
          <w:b/>
          <w:lang w:eastAsia="uk-UA"/>
        </w:rPr>
        <w:t>р.</w:t>
      </w:r>
      <w:r w:rsidR="006361D1">
        <w:rPr>
          <w:b/>
          <w:lang w:eastAsia="uk-UA"/>
        </w:rPr>
        <w:t xml:space="preserve"> включно.</w:t>
      </w:r>
    </w:p>
    <w:p w:rsidR="00B1622F" w:rsidRPr="00B1622F" w:rsidRDefault="0074705C" w:rsidP="00B1622F">
      <w:pPr>
        <w:widowControl w:val="0"/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="00BE0E15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</w:t>
      </w:r>
      <w:r w:rsidR="00B1622F" w:rsidRPr="00B1622F">
        <w:rPr>
          <w:rFonts w:eastAsia="Calibri"/>
          <w:lang w:eastAsia="en-US"/>
        </w:rPr>
        <w:t>Відносини між Замовником та Учасником регулюються наступними нормативно правовими актами:</w:t>
      </w:r>
    </w:p>
    <w:p w:rsidR="00B1622F" w:rsidRPr="00B1622F" w:rsidRDefault="00B1622F" w:rsidP="00B1622F">
      <w:pPr>
        <w:widowControl w:val="0"/>
        <w:suppressAutoHyphens w:val="0"/>
        <w:jc w:val="both"/>
        <w:rPr>
          <w:rFonts w:eastAsia="Calibri"/>
          <w:lang w:eastAsia="en-US"/>
        </w:rPr>
      </w:pPr>
      <w:r w:rsidRPr="00B1622F">
        <w:rPr>
          <w:rFonts w:eastAsia="Calibri"/>
          <w:lang w:eastAsia="en-US"/>
        </w:rPr>
        <w:t>- Закон України «Про публічні закупівлі»</w:t>
      </w:r>
      <w:r w:rsidR="0074705C">
        <w:rPr>
          <w:rFonts w:eastAsia="Calibri"/>
          <w:lang w:eastAsia="en-US"/>
        </w:rPr>
        <w:t xml:space="preserve"> </w:t>
      </w:r>
      <w:r w:rsidR="0074705C" w:rsidRPr="00B1622F">
        <w:rPr>
          <w:lang w:eastAsia="uk-UA"/>
        </w:rPr>
        <w:t>від 25.12.2015 року №922-VІІ</w:t>
      </w:r>
      <w:r w:rsidRPr="00B1622F">
        <w:rPr>
          <w:rFonts w:eastAsia="Calibri"/>
          <w:lang w:eastAsia="en-US"/>
        </w:rPr>
        <w:t>;</w:t>
      </w:r>
    </w:p>
    <w:p w:rsidR="00B1622F" w:rsidRDefault="00B1622F" w:rsidP="00B1622F">
      <w:pPr>
        <w:widowControl w:val="0"/>
        <w:suppressAutoHyphens w:val="0"/>
        <w:jc w:val="both"/>
        <w:rPr>
          <w:rFonts w:eastAsia="Calibri"/>
          <w:lang w:eastAsia="en-US"/>
        </w:rPr>
      </w:pPr>
      <w:r w:rsidRPr="00B1622F">
        <w:rPr>
          <w:rFonts w:eastAsia="Calibri"/>
          <w:lang w:eastAsia="en-US"/>
        </w:rPr>
        <w:t>- Закон України «Про ринок природного газу» від 09.04.2015 № 329-VIII;</w:t>
      </w:r>
    </w:p>
    <w:p w:rsidR="0074705C" w:rsidRDefault="00B1622F" w:rsidP="00B1622F">
      <w:pPr>
        <w:widowControl w:val="0"/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Постанова КМУ №812 </w:t>
      </w:r>
      <w:r w:rsidR="0074705C">
        <w:rPr>
          <w:rFonts w:eastAsia="Calibri"/>
          <w:lang w:eastAsia="en-US"/>
        </w:rPr>
        <w:t xml:space="preserve">від 19.07.2022 </w:t>
      </w:r>
      <w:r>
        <w:rPr>
          <w:rFonts w:eastAsia="Calibri"/>
          <w:lang w:eastAsia="en-US"/>
        </w:rPr>
        <w:t>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</w:r>
      <w:r w:rsidR="0074705C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 xml:space="preserve"> </w:t>
      </w:r>
    </w:p>
    <w:p w:rsidR="00B1622F" w:rsidRPr="00B1622F" w:rsidRDefault="00B1622F" w:rsidP="00B1622F">
      <w:pPr>
        <w:widowControl w:val="0"/>
        <w:suppressAutoHyphens w:val="0"/>
        <w:jc w:val="both"/>
        <w:rPr>
          <w:rFonts w:eastAsia="Calibri"/>
          <w:lang w:eastAsia="en-US"/>
        </w:rPr>
      </w:pPr>
      <w:r w:rsidRPr="00B1622F">
        <w:rPr>
          <w:rFonts w:eastAsia="Calibri"/>
          <w:lang w:eastAsia="en-US"/>
        </w:rPr>
        <w:t xml:space="preserve">- 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   </w:t>
      </w:r>
      <w:r w:rsidRPr="00B1622F">
        <w:rPr>
          <w:rFonts w:eastAsia="Calibri"/>
          <w:lang w:eastAsia="en-US"/>
        </w:rPr>
        <w:lastRenderedPageBreak/>
        <w:t>№ 2496;</w:t>
      </w:r>
    </w:p>
    <w:p w:rsidR="00B1622F" w:rsidRDefault="00B1622F" w:rsidP="00B1622F">
      <w:pPr>
        <w:widowControl w:val="0"/>
        <w:suppressAutoHyphens w:val="0"/>
        <w:jc w:val="both"/>
        <w:rPr>
          <w:rFonts w:eastAsia="Calibri"/>
          <w:lang w:eastAsia="en-US"/>
        </w:rPr>
      </w:pPr>
      <w:r w:rsidRPr="00B1622F">
        <w:rPr>
          <w:rFonts w:eastAsia="Calibri"/>
          <w:lang w:eastAsia="en-US"/>
        </w:rPr>
        <w:t>- Інш</w:t>
      </w:r>
      <w:r w:rsidR="006361D1">
        <w:rPr>
          <w:rFonts w:eastAsia="Calibri"/>
          <w:lang w:eastAsia="en-US"/>
        </w:rPr>
        <w:t>і</w:t>
      </w:r>
      <w:r w:rsidRPr="00B1622F">
        <w:rPr>
          <w:rFonts w:eastAsia="Calibri"/>
          <w:lang w:eastAsia="en-US"/>
        </w:rPr>
        <w:t xml:space="preserve"> нормативно правов</w:t>
      </w:r>
      <w:r w:rsidR="006361D1">
        <w:rPr>
          <w:rFonts w:eastAsia="Calibri"/>
          <w:lang w:eastAsia="en-US"/>
        </w:rPr>
        <w:t xml:space="preserve">і </w:t>
      </w:r>
      <w:r w:rsidRPr="00B1622F">
        <w:rPr>
          <w:rFonts w:eastAsia="Calibri"/>
          <w:lang w:eastAsia="en-US"/>
        </w:rPr>
        <w:t xml:space="preserve"> акти.</w:t>
      </w:r>
    </w:p>
    <w:p w:rsidR="000F7388" w:rsidRPr="00B1622F" w:rsidRDefault="000F7388" w:rsidP="00B1622F">
      <w:pPr>
        <w:widowControl w:val="0"/>
        <w:suppressAutoHyphens w:val="0"/>
        <w:jc w:val="both"/>
        <w:rPr>
          <w:rFonts w:eastAsia="Calibri"/>
          <w:lang w:eastAsia="en-US"/>
        </w:rPr>
      </w:pPr>
    </w:p>
    <w:p w:rsidR="00BE0E15" w:rsidRPr="00BE0E15" w:rsidRDefault="000F7388" w:rsidP="00BE0E15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4.4.</w:t>
      </w:r>
      <w:r w:rsidR="00BE0E15" w:rsidRPr="00BE0E15">
        <w:rPr>
          <w:rFonts w:eastAsia="Calibri"/>
          <w:b/>
          <w:lang w:eastAsia="en-US"/>
        </w:rPr>
        <w:t xml:space="preserve">Обґрунтування технічних характеристик. </w:t>
      </w:r>
      <w:r w:rsidR="00E73757">
        <w:rPr>
          <w:rFonts w:eastAsia="Calibri"/>
          <w:lang w:eastAsia="en-US"/>
        </w:rPr>
        <w:t>Термін постачання — з 01.</w:t>
      </w:r>
      <w:r w:rsidR="00242D83" w:rsidRPr="00242D83">
        <w:rPr>
          <w:rFonts w:eastAsia="Calibri"/>
          <w:lang w:val="ru-RU" w:eastAsia="en-US"/>
        </w:rPr>
        <w:t>01</w:t>
      </w:r>
      <w:r w:rsidR="00242D83">
        <w:rPr>
          <w:rFonts w:eastAsia="Calibri"/>
          <w:lang w:eastAsia="en-US"/>
        </w:rPr>
        <w:t>.202</w:t>
      </w:r>
      <w:r w:rsidR="00242D83" w:rsidRPr="00242D83">
        <w:rPr>
          <w:rFonts w:eastAsia="Calibri"/>
          <w:lang w:val="ru-RU" w:eastAsia="en-US"/>
        </w:rPr>
        <w:t>4</w:t>
      </w:r>
      <w:r w:rsidR="00242D83">
        <w:rPr>
          <w:rFonts w:eastAsia="Calibri"/>
          <w:lang w:eastAsia="en-US"/>
        </w:rPr>
        <w:t xml:space="preserve"> р. по</w:t>
      </w:r>
      <w:r w:rsidR="00242D83" w:rsidRPr="00242D83">
        <w:rPr>
          <w:rFonts w:eastAsia="Calibri"/>
          <w:lang w:val="ru-RU" w:eastAsia="en-US"/>
        </w:rPr>
        <w:t>15</w:t>
      </w:r>
      <w:r w:rsidR="00E73757">
        <w:rPr>
          <w:rFonts w:eastAsia="Calibri"/>
          <w:lang w:eastAsia="en-US"/>
        </w:rPr>
        <w:t>.</w:t>
      </w:r>
      <w:r w:rsidR="00242D83" w:rsidRPr="00242D83">
        <w:rPr>
          <w:rFonts w:eastAsia="Calibri"/>
          <w:lang w:val="ru-RU" w:eastAsia="en-US"/>
        </w:rPr>
        <w:t>04</w:t>
      </w:r>
      <w:r w:rsidR="00242D83">
        <w:rPr>
          <w:rFonts w:eastAsia="Calibri"/>
          <w:lang w:eastAsia="en-US"/>
        </w:rPr>
        <w:t>.202</w:t>
      </w:r>
      <w:r w:rsidR="00242D83" w:rsidRPr="00242D83">
        <w:rPr>
          <w:rFonts w:eastAsia="Calibri"/>
          <w:lang w:val="ru-RU" w:eastAsia="en-US"/>
        </w:rPr>
        <w:t>4</w:t>
      </w:r>
      <w:r w:rsidR="00BE0E15" w:rsidRPr="00BE0E15">
        <w:rPr>
          <w:rFonts w:eastAsia="Calibri"/>
          <w:lang w:eastAsia="en-US"/>
        </w:rPr>
        <w:t xml:space="preserve"> р. включно. </w:t>
      </w:r>
    </w:p>
    <w:p w:rsidR="00BE0E15" w:rsidRDefault="00BE0E15" w:rsidP="00BE0E15">
      <w:pPr>
        <w:suppressAutoHyphens w:val="0"/>
        <w:jc w:val="both"/>
        <w:rPr>
          <w:rFonts w:eastAsia="Calibri"/>
          <w:lang w:eastAsia="en-US"/>
        </w:rPr>
      </w:pPr>
      <w:r w:rsidRPr="00BE0E15">
        <w:rPr>
          <w:rFonts w:eastAsia="Calibri"/>
          <w:lang w:eastAsia="en-US"/>
        </w:rPr>
        <w:t xml:space="preserve">Кількісною характеристикою предмета закупівлі є обсяг споживання </w:t>
      </w:r>
      <w:proofErr w:type="spellStart"/>
      <w:r w:rsidRPr="00BE0E15">
        <w:rPr>
          <w:rFonts w:eastAsia="Calibri"/>
          <w:lang w:eastAsia="en-US"/>
        </w:rPr>
        <w:t>природнього</w:t>
      </w:r>
      <w:proofErr w:type="spellEnd"/>
      <w:r w:rsidRPr="00BE0E15">
        <w:rPr>
          <w:rFonts w:eastAsia="Calibri"/>
          <w:lang w:eastAsia="en-US"/>
        </w:rPr>
        <w:t xml:space="preserve"> газу. За одиницю виміру кількості </w:t>
      </w:r>
      <w:proofErr w:type="spellStart"/>
      <w:r w:rsidRPr="00BE0E15">
        <w:rPr>
          <w:rFonts w:eastAsia="Calibri"/>
          <w:lang w:eastAsia="en-US"/>
        </w:rPr>
        <w:t>природнього</w:t>
      </w:r>
      <w:proofErr w:type="spellEnd"/>
      <w:r w:rsidRPr="00BE0E15">
        <w:rPr>
          <w:rFonts w:eastAsia="Calibri"/>
          <w:lang w:eastAsia="en-US"/>
        </w:rPr>
        <w:t xml:space="preserve"> газу приймається тисяча метрів кубічних, яка дорівнює кількості газу. Обсяг, необхідний для забезпечення діяльності та власних потреб об’єктів замовника, та враховуючи обсяги споживання переднього календарного року, становить </w:t>
      </w:r>
      <w:bookmarkStart w:id="0" w:name="_GoBack"/>
      <w:bookmarkEnd w:id="0"/>
      <w:r w:rsidR="00655509" w:rsidRPr="00655509">
        <w:rPr>
          <w:rFonts w:eastAsia="Calibri"/>
          <w:lang w:val="ru-RU" w:eastAsia="en-US"/>
        </w:rPr>
        <w:t>10641</w:t>
      </w:r>
      <w:r w:rsidR="00104603" w:rsidRPr="00104603">
        <w:rPr>
          <w:rFonts w:eastAsia="Calibri"/>
          <w:lang w:val="ru-RU" w:eastAsia="en-US"/>
        </w:rPr>
        <w:t xml:space="preserve"> </w:t>
      </w:r>
      <w:proofErr w:type="spellStart"/>
      <w:r w:rsidRPr="00BE0E15">
        <w:rPr>
          <w:rFonts w:eastAsia="Calibri"/>
          <w:lang w:eastAsia="en-US"/>
        </w:rPr>
        <w:t>м.куб</w:t>
      </w:r>
      <w:proofErr w:type="spellEnd"/>
      <w:r w:rsidRPr="00BE0E15">
        <w:rPr>
          <w:rFonts w:eastAsia="Calibri"/>
          <w:lang w:eastAsia="en-US"/>
        </w:rPr>
        <w:t xml:space="preserve">.  </w:t>
      </w:r>
      <w:r w:rsidR="000F7388">
        <w:rPr>
          <w:rFonts w:eastAsia="Calibri"/>
          <w:lang w:eastAsia="en-US"/>
        </w:rPr>
        <w:t>з</w:t>
      </w:r>
      <w:r w:rsidR="00E73757">
        <w:rPr>
          <w:rFonts w:eastAsia="Calibri"/>
          <w:lang w:eastAsia="en-US"/>
        </w:rPr>
        <w:t xml:space="preserve"> 01.</w:t>
      </w:r>
      <w:r w:rsidR="00242D83" w:rsidRPr="00242D83">
        <w:rPr>
          <w:rFonts w:eastAsia="Calibri"/>
          <w:lang w:val="ru-RU" w:eastAsia="en-US"/>
        </w:rPr>
        <w:t>01</w:t>
      </w:r>
      <w:r w:rsidR="00242D83">
        <w:rPr>
          <w:rFonts w:eastAsia="Calibri"/>
          <w:lang w:eastAsia="en-US"/>
        </w:rPr>
        <w:t>.202</w:t>
      </w:r>
      <w:r w:rsidR="00242D83" w:rsidRPr="00242D83">
        <w:rPr>
          <w:rFonts w:eastAsia="Calibri"/>
          <w:lang w:val="ru-RU" w:eastAsia="en-US"/>
        </w:rPr>
        <w:t>4</w:t>
      </w:r>
      <w:r w:rsidR="00242D83">
        <w:rPr>
          <w:rFonts w:eastAsia="Calibri"/>
          <w:lang w:eastAsia="en-US"/>
        </w:rPr>
        <w:t xml:space="preserve"> р. по </w:t>
      </w:r>
      <w:r w:rsidR="00242D83" w:rsidRPr="00242D83">
        <w:rPr>
          <w:rFonts w:eastAsia="Calibri"/>
          <w:lang w:val="ru-RU" w:eastAsia="en-US"/>
        </w:rPr>
        <w:t>15</w:t>
      </w:r>
      <w:r w:rsidR="00E73757">
        <w:rPr>
          <w:rFonts w:eastAsia="Calibri"/>
          <w:lang w:eastAsia="en-US"/>
        </w:rPr>
        <w:t>.</w:t>
      </w:r>
      <w:r w:rsidR="00242D83" w:rsidRPr="00655509">
        <w:rPr>
          <w:rFonts w:eastAsia="Calibri"/>
          <w:lang w:val="ru-RU" w:eastAsia="en-US"/>
        </w:rPr>
        <w:t>04</w:t>
      </w:r>
      <w:r w:rsidR="00242D83">
        <w:rPr>
          <w:rFonts w:eastAsia="Calibri"/>
          <w:lang w:eastAsia="en-US"/>
        </w:rPr>
        <w:t>.202</w:t>
      </w:r>
      <w:r w:rsidR="00242D83" w:rsidRPr="00655509">
        <w:rPr>
          <w:rFonts w:eastAsia="Calibri"/>
          <w:lang w:val="ru-RU" w:eastAsia="en-US"/>
        </w:rPr>
        <w:t>4</w:t>
      </w:r>
      <w:r w:rsidRPr="00BE0E15">
        <w:rPr>
          <w:rFonts w:eastAsia="Calibri"/>
          <w:lang w:eastAsia="en-US"/>
        </w:rPr>
        <w:t xml:space="preserve"> (включно).</w:t>
      </w:r>
    </w:p>
    <w:p w:rsidR="000F7388" w:rsidRPr="00BE0E15" w:rsidRDefault="000F7388" w:rsidP="00BE0E15">
      <w:pPr>
        <w:suppressAutoHyphens w:val="0"/>
        <w:jc w:val="both"/>
        <w:rPr>
          <w:rFonts w:eastAsia="Calibri"/>
          <w:lang w:eastAsia="en-US"/>
        </w:rPr>
      </w:pPr>
    </w:p>
    <w:p w:rsidR="00BE0E15" w:rsidRPr="00BE0E15" w:rsidRDefault="000F7388" w:rsidP="00BE0E15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4.5.</w:t>
      </w:r>
      <w:r w:rsidR="00BE0E15" w:rsidRPr="00BE0E15">
        <w:rPr>
          <w:rFonts w:eastAsia="Calibri"/>
          <w:b/>
          <w:lang w:eastAsia="en-US"/>
        </w:rPr>
        <w:t>Обґрунтування якісних характеристик</w:t>
      </w:r>
      <w:r w:rsidR="00BE0E15" w:rsidRPr="00BE0E15">
        <w:rPr>
          <w:rFonts w:eastAsia="Calibri"/>
          <w:lang w:eastAsia="en-US"/>
        </w:rPr>
        <w:t>. Якість та інші фізико-хімічні характеристики природного газу, що постачається</w:t>
      </w:r>
      <w:r w:rsidR="006361D1">
        <w:rPr>
          <w:rFonts w:eastAsia="Calibri"/>
          <w:lang w:eastAsia="en-US"/>
        </w:rPr>
        <w:t>,</w:t>
      </w:r>
      <w:r w:rsidR="00BE0E15" w:rsidRPr="00BE0E15">
        <w:rPr>
          <w:rFonts w:eastAsia="Calibri"/>
          <w:lang w:eastAsia="en-US"/>
        </w:rPr>
        <w:t xml:space="preserve"> повинна відповідати  ДСТУ 5542-87 «Гази горючі природні для промислового і комунально-побутового призначення. Технічні умови», положенням Кодексу газотранспортної системи, Кодексу газорозподільних систем. Якість газу, що передається Споживачу, має відповідати вимогам, встановленим державними стандартами, технічними умовами, нормативно-технічними документами щодо його якості, відповідати значенню його фізико-хімічних показників встановленим нормативними документами.</w:t>
      </w:r>
    </w:p>
    <w:p w:rsidR="00BE0E15" w:rsidRPr="00B1622F" w:rsidRDefault="00BE0E15" w:rsidP="00BE0E15">
      <w:pPr>
        <w:widowControl w:val="0"/>
        <w:suppressAutoHyphens w:val="0"/>
        <w:jc w:val="both"/>
        <w:rPr>
          <w:lang w:val="ru-RU" w:eastAsia="en-US"/>
        </w:rPr>
      </w:pPr>
      <w:r w:rsidRPr="00B1622F">
        <w:rPr>
          <w:rFonts w:eastAsia="Calibri"/>
          <w:color w:val="000000"/>
          <w:lang w:eastAsia="ru-RU"/>
        </w:rPr>
        <w:t xml:space="preserve">Якість природного газу повинна відповідати вимогам ГОСТ 5542-87 – </w:t>
      </w:r>
      <w:r w:rsidRPr="00BE0E15">
        <w:rPr>
          <w:rFonts w:eastAsia="Calibri"/>
          <w:b/>
          <w:color w:val="000000"/>
          <w:lang w:eastAsia="ru-RU"/>
        </w:rPr>
        <w:t xml:space="preserve">надати </w:t>
      </w:r>
      <w:r w:rsidRPr="00BE0E15">
        <w:rPr>
          <w:b/>
          <w:lang w:eastAsia="en-US"/>
        </w:rPr>
        <w:t>паспорт якості природного газу</w:t>
      </w:r>
      <w:r w:rsidRPr="00B1622F">
        <w:rPr>
          <w:lang w:eastAsia="en-US"/>
        </w:rPr>
        <w:t>, що підтверджує відповідність запропонованого товару ГОСТ 5542-87, або інший документ який підтверджує якісні характеристики запропонованого товару</w:t>
      </w:r>
      <w:r w:rsidRPr="00B1622F">
        <w:rPr>
          <w:lang w:val="ru-RU" w:eastAsia="en-US"/>
        </w:rPr>
        <w:t xml:space="preserve"> .</w:t>
      </w:r>
    </w:p>
    <w:p w:rsidR="00B1622F" w:rsidRDefault="00B1622F" w:rsidP="00B1622F">
      <w:pPr>
        <w:widowControl w:val="0"/>
        <w:suppressAutoHyphens w:val="0"/>
        <w:jc w:val="both"/>
        <w:rPr>
          <w:rFonts w:eastAsia="Calibri"/>
          <w:lang w:eastAsia="en-US"/>
        </w:rPr>
      </w:pPr>
      <w:r w:rsidRPr="00B1622F">
        <w:rPr>
          <w:rFonts w:eastAsia="Calibri"/>
          <w:lang w:eastAsia="en-US"/>
        </w:rPr>
        <w:t>Природний газ є сумішшю вуглеводнів та не вуглеводних компонентів, перебуває у газоподібному стані за стандартних умов (тиск – 760 мм ртутного стовпчика і температура - 20° С)</w:t>
      </w:r>
      <w:r w:rsidR="006361D1">
        <w:rPr>
          <w:rFonts w:eastAsia="Calibri"/>
          <w:lang w:eastAsia="en-US"/>
        </w:rPr>
        <w:t>.</w:t>
      </w:r>
    </w:p>
    <w:p w:rsidR="00112AA2" w:rsidRPr="00112AA2" w:rsidRDefault="002D4E69" w:rsidP="002D4E69">
      <w:pPr>
        <w:shd w:val="clear" w:color="auto" w:fill="FFFFFF"/>
        <w:suppressAutoHyphens w:val="0"/>
        <w:jc w:val="both"/>
        <w:rPr>
          <w:b/>
          <w:color w:val="000000"/>
          <w:lang w:eastAsia="uk-UA"/>
        </w:rPr>
      </w:pPr>
      <w:r>
        <w:rPr>
          <w:b/>
          <w:lang w:eastAsia="uk-UA"/>
        </w:rPr>
        <w:t>4.6.</w:t>
      </w:r>
      <w:r w:rsidR="00112AA2" w:rsidRPr="00112AA2">
        <w:rPr>
          <w:b/>
          <w:lang w:eastAsia="uk-UA"/>
        </w:rPr>
        <w:t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документації,</w:t>
      </w:r>
      <w:r w:rsidR="00112AA2" w:rsidRPr="00112AA2">
        <w:rPr>
          <w:b/>
          <w:color w:val="000000"/>
          <w:lang w:eastAsia="uk-UA"/>
        </w:rPr>
        <w:t xml:space="preserve"> є: </w:t>
      </w:r>
    </w:p>
    <w:p w:rsidR="00112AA2" w:rsidRPr="00112AA2" w:rsidRDefault="00112AA2" w:rsidP="00112AA2">
      <w:pPr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ind w:left="0" w:firstLine="566"/>
        <w:jc w:val="both"/>
        <w:rPr>
          <w:lang w:eastAsia="uk-UA"/>
        </w:rPr>
      </w:pPr>
      <w:r w:rsidRPr="00112AA2">
        <w:rPr>
          <w:lang w:eastAsia="uk-UA"/>
        </w:rPr>
        <w:t xml:space="preserve"> технічна специфікація, складена учасником згідно з </w:t>
      </w:r>
      <w:r w:rsidRPr="00112AA2">
        <w:rPr>
          <w:b/>
          <w:lang w:eastAsia="uk-UA"/>
        </w:rPr>
        <w:t>Таблицею 1</w:t>
      </w:r>
      <w:r w:rsidRPr="00112AA2">
        <w:rPr>
          <w:lang w:eastAsia="uk-UA"/>
        </w:rPr>
        <w:t xml:space="preserve"> за інформацією (вимогами), формою та змістом цього додатка.</w:t>
      </w:r>
    </w:p>
    <w:p w:rsidR="00112AA2" w:rsidRPr="00112AA2" w:rsidRDefault="00112AA2" w:rsidP="00112AA2">
      <w:pPr>
        <w:suppressAutoHyphens w:val="0"/>
        <w:spacing w:before="240"/>
        <w:ind w:left="7920"/>
        <w:rPr>
          <w:b/>
          <w:i/>
          <w:highlight w:val="white"/>
          <w:lang w:eastAsia="uk-UA"/>
        </w:rPr>
      </w:pPr>
      <w:r w:rsidRPr="00112AA2">
        <w:rPr>
          <w:b/>
          <w:i/>
          <w:highlight w:val="white"/>
          <w:lang w:eastAsia="uk-UA"/>
        </w:rPr>
        <w:t xml:space="preserve">       Таблиця 1</w:t>
      </w:r>
    </w:p>
    <w:tbl>
      <w:tblPr>
        <w:tblW w:w="9690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3"/>
        <w:gridCol w:w="1897"/>
        <w:gridCol w:w="2010"/>
        <w:gridCol w:w="1005"/>
        <w:gridCol w:w="1365"/>
        <w:gridCol w:w="1350"/>
        <w:gridCol w:w="1410"/>
      </w:tblGrid>
      <w:tr w:rsidR="00112AA2" w:rsidRPr="00112AA2" w:rsidTr="00C07BA9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center"/>
              <w:rPr>
                <w:i/>
                <w:highlight w:val="white"/>
                <w:lang w:eastAsia="uk-UA"/>
              </w:rPr>
            </w:pPr>
            <w:bookmarkStart w:id="1" w:name="_heading=h.gjdgxs" w:colFirst="0" w:colLast="0"/>
            <w:bookmarkEnd w:id="1"/>
            <w:r w:rsidRPr="00112AA2">
              <w:rPr>
                <w:i/>
                <w:highlight w:val="white"/>
                <w:lang w:eastAsia="uk-UA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center"/>
              <w:rPr>
                <w:i/>
                <w:highlight w:val="white"/>
                <w:lang w:eastAsia="uk-UA"/>
              </w:rPr>
            </w:pPr>
            <w:r w:rsidRPr="00112AA2">
              <w:rPr>
                <w:i/>
                <w:highlight w:val="white"/>
                <w:lang w:eastAsia="uk-UA"/>
              </w:rPr>
              <w:t>Найменування  товару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12AA2" w:rsidRPr="00112AA2" w:rsidRDefault="00112AA2" w:rsidP="00112AA2">
            <w:pPr>
              <w:suppressAutoHyphens w:val="0"/>
              <w:jc w:val="center"/>
              <w:rPr>
                <w:i/>
                <w:highlight w:val="yellow"/>
                <w:lang w:eastAsia="uk-UA"/>
              </w:rPr>
            </w:pPr>
            <w:r w:rsidRPr="00112AA2">
              <w:rPr>
                <w:i/>
                <w:highlight w:val="white"/>
                <w:lang w:eastAsia="uk-UA"/>
              </w:rPr>
              <w:t>Технічні характеристики товару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center"/>
              <w:rPr>
                <w:i/>
                <w:highlight w:val="white"/>
                <w:lang w:eastAsia="uk-UA"/>
              </w:rPr>
            </w:pPr>
            <w:r w:rsidRPr="00112AA2">
              <w:rPr>
                <w:i/>
                <w:highlight w:val="white"/>
                <w:lang w:eastAsia="uk-UA"/>
              </w:rPr>
              <w:t>Од. виміру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center"/>
              <w:rPr>
                <w:i/>
                <w:highlight w:val="white"/>
                <w:lang w:eastAsia="uk-UA"/>
              </w:rPr>
            </w:pPr>
            <w:r w:rsidRPr="00112AA2">
              <w:rPr>
                <w:i/>
                <w:highlight w:val="white"/>
                <w:lang w:eastAsia="uk-UA"/>
              </w:rPr>
              <w:t>Кількість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center"/>
              <w:rPr>
                <w:i/>
                <w:highlight w:val="white"/>
                <w:lang w:eastAsia="uk-UA"/>
              </w:rPr>
            </w:pPr>
            <w:r w:rsidRPr="00112AA2">
              <w:rPr>
                <w:i/>
                <w:lang w:eastAsia="uk-UA"/>
              </w:rPr>
              <w:t>Виробник товару*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center"/>
              <w:rPr>
                <w:i/>
                <w:highlight w:val="white"/>
                <w:lang w:eastAsia="uk-UA"/>
              </w:rPr>
            </w:pPr>
            <w:r w:rsidRPr="00112AA2">
              <w:rPr>
                <w:i/>
                <w:highlight w:val="white"/>
                <w:lang w:eastAsia="uk-UA"/>
              </w:rPr>
              <w:t>Країна  походження товару**</w:t>
            </w:r>
          </w:p>
        </w:tc>
      </w:tr>
      <w:tr w:rsidR="00112AA2" w:rsidRPr="00112AA2" w:rsidTr="00C07BA9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center"/>
              <w:rPr>
                <w:i/>
                <w:highlight w:val="white"/>
                <w:lang w:eastAsia="uk-UA"/>
              </w:rPr>
            </w:pPr>
            <w:r w:rsidRPr="00112AA2">
              <w:rPr>
                <w:i/>
                <w:highlight w:val="white"/>
                <w:lang w:eastAsia="uk-UA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center"/>
              <w:rPr>
                <w:i/>
                <w:highlight w:val="white"/>
                <w:lang w:eastAsia="uk-UA"/>
              </w:rPr>
            </w:pPr>
            <w:r w:rsidRPr="00112AA2">
              <w:rPr>
                <w:i/>
                <w:highlight w:val="white"/>
                <w:lang w:eastAsia="uk-UA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12AA2" w:rsidRPr="00112AA2" w:rsidRDefault="00112AA2" w:rsidP="00112AA2">
            <w:pPr>
              <w:suppressAutoHyphens w:val="0"/>
              <w:jc w:val="center"/>
              <w:rPr>
                <w:i/>
                <w:highlight w:val="white"/>
                <w:lang w:eastAsia="uk-UA"/>
              </w:rPr>
            </w:pPr>
            <w:r w:rsidRPr="00112AA2">
              <w:rPr>
                <w:i/>
                <w:highlight w:val="white"/>
                <w:lang w:eastAsia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center"/>
              <w:rPr>
                <w:i/>
                <w:highlight w:val="white"/>
                <w:lang w:eastAsia="uk-UA"/>
              </w:rPr>
            </w:pPr>
            <w:r w:rsidRPr="00112AA2">
              <w:rPr>
                <w:i/>
                <w:highlight w:val="white"/>
                <w:lang w:eastAsia="uk-UA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center"/>
              <w:rPr>
                <w:i/>
                <w:highlight w:val="white"/>
                <w:lang w:eastAsia="uk-UA"/>
              </w:rPr>
            </w:pPr>
            <w:r w:rsidRPr="00112AA2">
              <w:rPr>
                <w:i/>
                <w:highlight w:val="white"/>
                <w:lang w:eastAsia="uk-UA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center"/>
              <w:rPr>
                <w:i/>
                <w:highlight w:val="white"/>
                <w:lang w:eastAsia="uk-UA"/>
              </w:rPr>
            </w:pPr>
            <w:r w:rsidRPr="00112AA2">
              <w:rPr>
                <w:i/>
                <w:highlight w:val="white"/>
                <w:lang w:eastAsia="uk-UA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center"/>
              <w:rPr>
                <w:i/>
                <w:highlight w:val="white"/>
                <w:lang w:eastAsia="uk-UA"/>
              </w:rPr>
            </w:pPr>
            <w:r w:rsidRPr="00112AA2">
              <w:rPr>
                <w:i/>
                <w:highlight w:val="white"/>
                <w:lang w:eastAsia="uk-UA"/>
              </w:rPr>
              <w:t>7</w:t>
            </w:r>
          </w:p>
        </w:tc>
      </w:tr>
      <w:tr w:rsidR="00112AA2" w:rsidRPr="00112AA2" w:rsidTr="00C07BA9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both"/>
              <w:rPr>
                <w:i/>
                <w:color w:val="FF0000"/>
                <w:highlight w:val="white"/>
                <w:lang w:eastAsia="uk-UA"/>
              </w:rPr>
            </w:pPr>
            <w:r w:rsidRPr="00112AA2">
              <w:rPr>
                <w:i/>
                <w:color w:val="FF0000"/>
                <w:highlight w:val="white"/>
                <w:lang w:eastAsia="uk-UA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both"/>
              <w:rPr>
                <w:i/>
                <w:color w:val="FF0000"/>
                <w:highlight w:val="white"/>
                <w:lang w:eastAsia="uk-UA"/>
              </w:rPr>
            </w:pPr>
            <w:r w:rsidRPr="00112AA2">
              <w:rPr>
                <w:i/>
                <w:color w:val="FF0000"/>
                <w:highlight w:val="white"/>
                <w:lang w:eastAsia="uk-UA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12AA2" w:rsidRPr="00112AA2" w:rsidRDefault="00112AA2" w:rsidP="00112AA2">
            <w:pPr>
              <w:suppressAutoHyphens w:val="0"/>
              <w:jc w:val="both"/>
              <w:rPr>
                <w:i/>
                <w:color w:val="FF0000"/>
                <w:highlight w:val="white"/>
                <w:lang w:eastAsia="uk-UA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both"/>
              <w:rPr>
                <w:i/>
                <w:color w:val="FF0000"/>
                <w:highlight w:val="white"/>
                <w:lang w:eastAsia="uk-UA"/>
              </w:rPr>
            </w:pPr>
            <w:r w:rsidRPr="00112AA2">
              <w:rPr>
                <w:i/>
                <w:color w:val="FF0000"/>
                <w:highlight w:val="white"/>
                <w:lang w:eastAsia="uk-UA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both"/>
              <w:rPr>
                <w:i/>
                <w:color w:val="FF0000"/>
                <w:highlight w:val="white"/>
                <w:lang w:eastAsia="uk-UA"/>
              </w:rPr>
            </w:pPr>
            <w:r w:rsidRPr="00112AA2">
              <w:rPr>
                <w:i/>
                <w:color w:val="FF0000"/>
                <w:highlight w:val="white"/>
                <w:lang w:eastAsia="uk-UA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both"/>
              <w:rPr>
                <w:i/>
                <w:color w:val="FF0000"/>
                <w:highlight w:val="white"/>
                <w:lang w:eastAsia="uk-UA"/>
              </w:rPr>
            </w:pPr>
            <w:r w:rsidRPr="00112AA2">
              <w:rPr>
                <w:i/>
                <w:color w:val="FF0000"/>
                <w:highlight w:val="white"/>
                <w:lang w:eastAsia="uk-UA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A2" w:rsidRPr="00112AA2" w:rsidRDefault="00112AA2" w:rsidP="00112AA2">
            <w:pPr>
              <w:suppressAutoHyphens w:val="0"/>
              <w:jc w:val="both"/>
              <w:rPr>
                <w:i/>
                <w:color w:val="FF0000"/>
                <w:highlight w:val="white"/>
                <w:lang w:eastAsia="uk-UA"/>
              </w:rPr>
            </w:pPr>
            <w:r w:rsidRPr="00112AA2">
              <w:rPr>
                <w:i/>
                <w:color w:val="FF0000"/>
                <w:highlight w:val="white"/>
                <w:lang w:eastAsia="uk-UA"/>
              </w:rPr>
              <w:t xml:space="preserve"> </w:t>
            </w:r>
          </w:p>
        </w:tc>
      </w:tr>
    </w:tbl>
    <w:p w:rsidR="00112AA2" w:rsidRPr="00112AA2" w:rsidRDefault="00112AA2" w:rsidP="00112AA2">
      <w:pPr>
        <w:suppressAutoHyphens w:val="0"/>
        <w:ind w:firstLine="283"/>
        <w:jc w:val="both"/>
        <w:rPr>
          <w:i/>
          <w:sz w:val="22"/>
          <w:szCs w:val="22"/>
          <w:lang w:eastAsia="uk-UA"/>
        </w:rPr>
      </w:pPr>
      <w:r w:rsidRPr="00112AA2">
        <w:rPr>
          <w:i/>
          <w:sz w:val="22"/>
          <w:szCs w:val="22"/>
          <w:lang w:eastAsia="uk-UA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596C16" w:rsidRDefault="00112AA2" w:rsidP="00112AA2">
      <w:pPr>
        <w:suppressAutoHyphens w:val="0"/>
        <w:ind w:firstLine="283"/>
        <w:jc w:val="both"/>
        <w:rPr>
          <w:i/>
          <w:sz w:val="22"/>
          <w:szCs w:val="22"/>
          <w:lang w:eastAsia="uk-UA"/>
        </w:rPr>
      </w:pPr>
      <w:r w:rsidRPr="00112AA2">
        <w:rPr>
          <w:i/>
          <w:sz w:val="22"/>
          <w:szCs w:val="22"/>
          <w:lang w:eastAsia="uk-UA"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112AA2" w:rsidRPr="00112AA2" w:rsidRDefault="00112AA2" w:rsidP="00112AA2">
      <w:pPr>
        <w:suppressAutoHyphens w:val="0"/>
        <w:ind w:firstLine="283"/>
        <w:jc w:val="both"/>
        <w:rPr>
          <w:b/>
          <w:i/>
          <w:lang w:eastAsia="uk-UA"/>
        </w:rPr>
      </w:pPr>
      <w:r w:rsidRPr="00112AA2">
        <w:rPr>
          <w:i/>
          <w:sz w:val="22"/>
          <w:szCs w:val="22"/>
          <w:lang w:eastAsia="uk-UA"/>
        </w:rPr>
        <w:t xml:space="preserve"> </w:t>
      </w:r>
    </w:p>
    <w:p w:rsidR="000F7388" w:rsidRDefault="000F7388" w:rsidP="002D4E69">
      <w:pPr>
        <w:shd w:val="clear" w:color="auto" w:fill="FFFFFF"/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4.</w:t>
      </w:r>
      <w:r w:rsidR="002D4E69">
        <w:rPr>
          <w:rFonts w:eastAsia="Calibri"/>
          <w:b/>
          <w:lang w:eastAsia="en-US"/>
        </w:rPr>
        <w:t>7</w:t>
      </w:r>
      <w:r>
        <w:rPr>
          <w:rFonts w:eastAsia="Calibri"/>
          <w:b/>
          <w:lang w:eastAsia="en-US"/>
        </w:rPr>
        <w:t>.</w:t>
      </w:r>
      <w:r w:rsidR="00BE0E15" w:rsidRPr="00BE0E15">
        <w:rPr>
          <w:rFonts w:eastAsia="Calibri"/>
          <w:b/>
          <w:lang w:eastAsia="en-US"/>
        </w:rPr>
        <w:t>Очікувана вартість та обґрунтування очікуваної вартості предмета закупівлі</w:t>
      </w:r>
      <w:r w:rsidR="00BE0E15" w:rsidRPr="00BE0E15">
        <w:rPr>
          <w:rFonts w:eastAsia="Calibri"/>
          <w:b/>
          <w:bCs/>
          <w:lang w:eastAsia="en-US"/>
        </w:rPr>
        <w:t>:</w:t>
      </w:r>
      <w:r w:rsidR="00BE0E15" w:rsidRPr="00BE0E15">
        <w:rPr>
          <w:rFonts w:eastAsia="Calibri"/>
          <w:lang w:eastAsia="en-US"/>
        </w:rPr>
        <w:t xml:space="preserve"> </w:t>
      </w:r>
    </w:p>
    <w:p w:rsidR="00BE0E15" w:rsidRDefault="00655509" w:rsidP="00BE0E15">
      <w:pPr>
        <w:suppressAutoHyphens w:val="0"/>
        <w:spacing w:before="100" w:beforeAutospacing="1"/>
        <w:jc w:val="both"/>
        <w:rPr>
          <w:rFonts w:eastAsia="Calibri"/>
          <w:lang w:eastAsia="en-US"/>
        </w:rPr>
      </w:pPr>
      <w:r w:rsidRPr="0040242A">
        <w:rPr>
          <w:rFonts w:eastAsia="Calibri"/>
          <w:b/>
          <w:lang w:val="ru-RU" w:eastAsia="en-US"/>
        </w:rPr>
        <w:t>176 149</w:t>
      </w:r>
      <w:r w:rsidRPr="0040242A">
        <w:rPr>
          <w:rFonts w:eastAsia="Calibri"/>
          <w:b/>
          <w:lang w:eastAsia="en-US"/>
        </w:rPr>
        <w:t>,</w:t>
      </w:r>
      <w:r w:rsidRPr="0040242A">
        <w:rPr>
          <w:rFonts w:eastAsia="Calibri"/>
          <w:b/>
          <w:lang w:val="ru-RU" w:eastAsia="en-US"/>
        </w:rPr>
        <w:t>94</w:t>
      </w:r>
      <w:r w:rsidR="00955871" w:rsidRPr="0040242A">
        <w:rPr>
          <w:rFonts w:eastAsia="Calibri"/>
          <w:b/>
          <w:lang w:eastAsia="en-US"/>
        </w:rPr>
        <w:t xml:space="preserve"> </w:t>
      </w:r>
      <w:r w:rsidR="00BE0E15" w:rsidRPr="0040242A">
        <w:rPr>
          <w:rFonts w:eastAsia="Calibri"/>
          <w:b/>
          <w:lang w:eastAsia="en-US"/>
        </w:rPr>
        <w:t>грн</w:t>
      </w:r>
      <w:r w:rsidR="00BE0E15" w:rsidRPr="000F7388">
        <w:rPr>
          <w:rFonts w:eastAsia="Calibri"/>
          <w:b/>
          <w:lang w:eastAsia="en-US"/>
        </w:rPr>
        <w:t xml:space="preserve">. </w:t>
      </w:r>
      <w:r w:rsidR="00BE0E15">
        <w:rPr>
          <w:rFonts w:eastAsia="Calibri"/>
          <w:lang w:eastAsia="en-US"/>
        </w:rPr>
        <w:t>(</w:t>
      </w:r>
      <w:r w:rsidRPr="00655509">
        <w:rPr>
          <w:rFonts w:eastAsia="Calibri"/>
          <w:lang w:val="ru-RU" w:eastAsia="en-US"/>
        </w:rPr>
        <w:t xml:space="preserve">сто </w:t>
      </w:r>
      <w:proofErr w:type="spellStart"/>
      <w:r w:rsidRPr="00655509">
        <w:rPr>
          <w:rFonts w:eastAsia="Calibri"/>
          <w:lang w:val="ru-RU" w:eastAsia="en-US"/>
        </w:rPr>
        <w:t>сімдесят</w:t>
      </w:r>
      <w:proofErr w:type="spellEnd"/>
      <w:r w:rsidRPr="00655509">
        <w:rPr>
          <w:rFonts w:eastAsia="Calibri"/>
          <w:lang w:val="ru-RU" w:eastAsia="en-US"/>
        </w:rPr>
        <w:t xml:space="preserve"> </w:t>
      </w:r>
      <w:proofErr w:type="spellStart"/>
      <w:r w:rsidRPr="00655509">
        <w:rPr>
          <w:rFonts w:eastAsia="Calibri"/>
          <w:lang w:val="ru-RU" w:eastAsia="en-US"/>
        </w:rPr>
        <w:t>шість</w:t>
      </w:r>
      <w:proofErr w:type="spellEnd"/>
      <w:r w:rsidRPr="00655509">
        <w:rPr>
          <w:rFonts w:eastAsia="Calibri"/>
          <w:lang w:val="ru-RU" w:eastAsia="en-US"/>
        </w:rPr>
        <w:t xml:space="preserve"> </w:t>
      </w:r>
      <w:r w:rsidR="00BE0E15">
        <w:rPr>
          <w:rFonts w:eastAsia="Calibri"/>
          <w:lang w:eastAsia="en-US"/>
        </w:rPr>
        <w:t xml:space="preserve">тисяч </w:t>
      </w:r>
      <w:r>
        <w:rPr>
          <w:rFonts w:eastAsia="Calibri"/>
          <w:lang w:eastAsia="en-US"/>
        </w:rPr>
        <w:t>сто сорок дев’ять грн. 94</w:t>
      </w:r>
      <w:r w:rsidR="00BE0E15">
        <w:rPr>
          <w:rFonts w:eastAsia="Calibri"/>
          <w:lang w:eastAsia="en-US"/>
        </w:rPr>
        <w:t xml:space="preserve"> коп.</w:t>
      </w:r>
      <w:proofErr w:type="gramStart"/>
      <w:r w:rsidR="00BE0E15">
        <w:rPr>
          <w:rFonts w:eastAsia="Calibri"/>
          <w:lang w:eastAsia="en-US"/>
        </w:rPr>
        <w:t>)</w:t>
      </w:r>
      <w:r w:rsidR="0040242A">
        <w:rPr>
          <w:rFonts w:eastAsia="Calibri"/>
          <w:lang w:eastAsia="en-US"/>
        </w:rPr>
        <w:t>в</w:t>
      </w:r>
      <w:proofErr w:type="gramEnd"/>
      <w:r w:rsidR="0040242A">
        <w:rPr>
          <w:rFonts w:eastAsia="Calibri"/>
          <w:lang w:eastAsia="en-US"/>
        </w:rPr>
        <w:t xml:space="preserve"> тому числі ПДВ</w:t>
      </w:r>
    </w:p>
    <w:p w:rsidR="00BE0E15" w:rsidRPr="00BE0E15" w:rsidRDefault="00BE0E15" w:rsidP="00BE0E15">
      <w:pPr>
        <w:suppressAutoHyphens w:val="0"/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BE0E15">
        <w:rPr>
          <w:rFonts w:eastAsia="Calibri"/>
          <w:lang w:eastAsia="en-US"/>
        </w:rPr>
        <w:t xml:space="preserve"> Визначення очікуваної вартості предмета закупівлі обумовлено</w:t>
      </w:r>
      <w:r w:rsidRPr="00BE0E15">
        <w:rPr>
          <w:rFonts w:ascii="Calibri" w:eastAsia="Calibri" w:hAnsi="Calibri"/>
          <w:lang w:eastAsia="en-US"/>
        </w:rPr>
        <w:t xml:space="preserve"> </w:t>
      </w:r>
      <w:r w:rsidRPr="00BE0E15">
        <w:rPr>
          <w:rFonts w:eastAsia="Calibri"/>
          <w:lang w:eastAsia="en-US"/>
        </w:rPr>
        <w:t>примірною методикою визначення очікуваної вартості предмета закупівлі від 18.02.2020 №275,</w:t>
      </w:r>
      <w:r w:rsidRPr="00BE0E15">
        <w:rPr>
          <w:rFonts w:ascii="Calibri" w:eastAsia="Calibri" w:hAnsi="Calibri"/>
          <w:lang w:eastAsia="en-US"/>
        </w:rPr>
        <w:t xml:space="preserve"> </w:t>
      </w:r>
      <w:r w:rsidRPr="00BE0E15">
        <w:rPr>
          <w:rFonts w:eastAsia="Calibri"/>
          <w:lang w:eastAsia="en-US"/>
        </w:rPr>
        <w:t xml:space="preserve">затвердженою Міністерством розвитку економіки, торгівлі та сільського господарства України, якою передбачено Метод №3: Розрахунок очікуваної вартості товарів / послуг, щодо яких проводиться державне регулювання цін і тарифів. Очікувана вартість закупівлі товарів / послуг, щодо яких проводиться державне регулювання цін і тарифів (відповідно до постанов, </w:t>
      </w:r>
      <w:r w:rsidRPr="00BE0E15">
        <w:rPr>
          <w:rFonts w:eastAsia="Calibri"/>
          <w:lang w:eastAsia="en-US"/>
        </w:rPr>
        <w:lastRenderedPageBreak/>
        <w:t>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 / послуг та ціни (тарифу), затвердженої відповідним нормативно-правовим актом, що розраховується за такою формулою:</w:t>
      </w:r>
    </w:p>
    <w:p w:rsidR="00BE0E15" w:rsidRPr="00BE0E15" w:rsidRDefault="00BE0E15" w:rsidP="00BE0E15">
      <w:pPr>
        <w:suppressAutoHyphens w:val="0"/>
        <w:spacing w:before="100" w:beforeAutospacing="1" w:after="100" w:afterAutospacing="1"/>
        <w:jc w:val="both"/>
        <w:rPr>
          <w:rFonts w:eastAsia="Calibri"/>
          <w:lang w:eastAsia="en-US"/>
        </w:rPr>
      </w:pPr>
      <w:bookmarkStart w:id="2" w:name="n84"/>
      <w:bookmarkEnd w:id="2"/>
      <w:proofErr w:type="spellStart"/>
      <w:r w:rsidRPr="00BE0E15">
        <w:rPr>
          <w:rFonts w:eastAsia="Calibri"/>
          <w:b/>
          <w:bCs/>
          <w:lang w:eastAsia="en-US"/>
        </w:rPr>
        <w:t>ОВ</w:t>
      </w:r>
      <w:r w:rsidRPr="00BE0E15">
        <w:rPr>
          <w:rFonts w:eastAsia="Calibri"/>
          <w:b/>
          <w:bCs/>
          <w:vertAlign w:val="subscript"/>
          <w:lang w:eastAsia="en-US"/>
        </w:rPr>
        <w:t>рег</w:t>
      </w:r>
      <w:proofErr w:type="spellEnd"/>
      <w:r w:rsidRPr="00BE0E15">
        <w:rPr>
          <w:rFonts w:eastAsia="Calibri"/>
          <w:b/>
          <w:bCs/>
          <w:lang w:eastAsia="en-US"/>
        </w:rPr>
        <w:t xml:space="preserve"> = V * </w:t>
      </w:r>
      <w:proofErr w:type="spellStart"/>
      <w:r w:rsidRPr="00BE0E15">
        <w:rPr>
          <w:rFonts w:eastAsia="Calibri"/>
          <w:b/>
          <w:bCs/>
          <w:lang w:eastAsia="en-US"/>
        </w:rPr>
        <w:t>Ц</w:t>
      </w:r>
      <w:r w:rsidRPr="00BE0E15">
        <w:rPr>
          <w:rFonts w:eastAsia="Calibri"/>
          <w:b/>
          <w:bCs/>
          <w:vertAlign w:val="subscript"/>
          <w:lang w:eastAsia="en-US"/>
        </w:rPr>
        <w:t>тар</w:t>
      </w:r>
      <w:proofErr w:type="spellEnd"/>
      <w:r w:rsidRPr="00BE0E15">
        <w:rPr>
          <w:rFonts w:eastAsia="Calibri"/>
          <w:lang w:eastAsia="en-US"/>
        </w:rPr>
        <w:t>,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1072"/>
        <w:gridCol w:w="270"/>
        <w:gridCol w:w="8046"/>
      </w:tblGrid>
      <w:tr w:rsidR="00BE0E15" w:rsidRPr="00BE0E15" w:rsidTr="00CB1D7D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E15" w:rsidRPr="00BE0E15" w:rsidRDefault="00BE0E15" w:rsidP="00BE0E15">
            <w:pPr>
              <w:suppressAutoHyphens w:val="0"/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bookmarkStart w:id="3" w:name="n85"/>
            <w:bookmarkEnd w:id="3"/>
            <w:r w:rsidRPr="00BE0E15">
              <w:rPr>
                <w:rFonts w:eastAsia="Calibri"/>
                <w:lang w:eastAsia="en-US"/>
              </w:rPr>
              <w:t>де: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E15" w:rsidRPr="00BE0E15" w:rsidRDefault="00BE0E15" w:rsidP="00BE0E15">
            <w:pPr>
              <w:suppressAutoHyphens w:val="0"/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proofErr w:type="spellStart"/>
            <w:r w:rsidRPr="00BE0E15">
              <w:rPr>
                <w:rFonts w:eastAsia="Calibri"/>
                <w:b/>
                <w:bCs/>
                <w:lang w:eastAsia="en-US"/>
              </w:rPr>
              <w:t>ОВ</w:t>
            </w:r>
            <w:r w:rsidRPr="00BE0E15">
              <w:rPr>
                <w:rFonts w:eastAsia="Calibri"/>
                <w:b/>
                <w:bCs/>
                <w:vertAlign w:val="subscript"/>
                <w:lang w:eastAsia="en-US"/>
              </w:rPr>
              <w:t>рег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E15" w:rsidRPr="00BE0E15" w:rsidRDefault="00BE0E15" w:rsidP="00BE0E15">
            <w:pPr>
              <w:suppressAutoHyphens w:val="0"/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BE0E1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E15" w:rsidRPr="00BE0E15" w:rsidRDefault="00BE0E15" w:rsidP="00BE0E15">
            <w:pPr>
              <w:suppressAutoHyphens w:val="0"/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BE0E15">
              <w:rPr>
                <w:rFonts w:eastAsia="Calibri"/>
                <w:lang w:eastAsia="en-US"/>
              </w:rPr>
              <w:t>очікувана вартість закупівлі товарів / послуг, щодо яких проводиться державне регулювання цін і тарифів;</w:t>
            </w:r>
          </w:p>
        </w:tc>
      </w:tr>
      <w:tr w:rsidR="00BE0E15" w:rsidRPr="00BE0E15" w:rsidTr="00CB1D7D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E15" w:rsidRPr="00BE0E15" w:rsidRDefault="00BE0E15" w:rsidP="00BE0E15">
            <w:pPr>
              <w:suppressAutoHyphens w:val="0"/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E15" w:rsidRPr="00BE0E15" w:rsidRDefault="00BE0E15" w:rsidP="00BE0E15">
            <w:pPr>
              <w:suppressAutoHyphens w:val="0"/>
              <w:spacing w:before="100" w:beforeAutospacing="1" w:after="100" w:afterAutospacing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BE0E15">
              <w:rPr>
                <w:rFonts w:eastAsia="Calibri"/>
                <w:b/>
                <w:bCs/>
                <w:lang w:eastAsia="en-US"/>
              </w:rPr>
              <w:t>V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E15" w:rsidRPr="00BE0E15" w:rsidRDefault="00BE0E15" w:rsidP="00BE0E15">
            <w:pPr>
              <w:suppressAutoHyphens w:val="0"/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BE0E1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E15" w:rsidRPr="00BE0E15" w:rsidRDefault="00BE0E15" w:rsidP="00BE0E15">
            <w:pPr>
              <w:suppressAutoHyphens w:val="0"/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BE0E15">
              <w:rPr>
                <w:rFonts w:eastAsia="Calibri"/>
                <w:lang w:eastAsia="en-US"/>
              </w:rPr>
              <w:t>кількість (обсяг) товару / послуги, що закуповується;</w:t>
            </w:r>
          </w:p>
        </w:tc>
      </w:tr>
      <w:tr w:rsidR="00BE0E15" w:rsidRPr="00BE0E15" w:rsidTr="00CB1D7D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E15" w:rsidRPr="00BE0E15" w:rsidRDefault="00BE0E15" w:rsidP="00BE0E15">
            <w:pPr>
              <w:suppressAutoHyphens w:val="0"/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E15" w:rsidRPr="00BE0E15" w:rsidRDefault="00BE0E15" w:rsidP="00BE0E15">
            <w:pPr>
              <w:suppressAutoHyphens w:val="0"/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proofErr w:type="spellStart"/>
            <w:r w:rsidRPr="00BE0E15">
              <w:rPr>
                <w:rFonts w:eastAsia="Calibri"/>
                <w:b/>
                <w:bCs/>
                <w:lang w:eastAsia="en-US"/>
              </w:rPr>
              <w:t>Ц</w:t>
            </w:r>
            <w:r w:rsidRPr="00BE0E15">
              <w:rPr>
                <w:rFonts w:eastAsia="Calibri"/>
                <w:b/>
                <w:bCs/>
                <w:vertAlign w:val="subscript"/>
                <w:lang w:eastAsia="en-US"/>
              </w:rPr>
              <w:t>тар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E15" w:rsidRPr="00BE0E15" w:rsidRDefault="00BE0E15" w:rsidP="00BE0E15">
            <w:pPr>
              <w:suppressAutoHyphens w:val="0"/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BE0E1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E15" w:rsidRPr="00BE0E15" w:rsidRDefault="00BE0E15" w:rsidP="00BE0E15">
            <w:pPr>
              <w:suppressAutoHyphens w:val="0"/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BE0E15">
              <w:rPr>
                <w:rFonts w:eastAsia="Calibri"/>
                <w:lang w:eastAsia="en-US"/>
              </w:rPr>
              <w:t>ціна (тариф) за одиницю товару / послуги, затверджена відповідним нормативно-правовим актом.</w:t>
            </w:r>
          </w:p>
        </w:tc>
      </w:tr>
    </w:tbl>
    <w:p w:rsidR="00343302" w:rsidRPr="00B1622F" w:rsidRDefault="00343302" w:rsidP="00343302">
      <w:pPr>
        <w:tabs>
          <w:tab w:val="left" w:pos="360"/>
        </w:tabs>
        <w:suppressAutoHyphens w:val="0"/>
        <w:ind w:firstLine="709"/>
        <w:jc w:val="center"/>
        <w:rPr>
          <w:b/>
          <w:lang w:eastAsia="ru-RU"/>
        </w:rPr>
      </w:pPr>
    </w:p>
    <w:p w:rsidR="00343302" w:rsidRPr="00B1622F" w:rsidRDefault="00343302" w:rsidP="00343302">
      <w:pPr>
        <w:tabs>
          <w:tab w:val="left" w:pos="360"/>
        </w:tabs>
        <w:suppressAutoHyphens w:val="0"/>
        <w:ind w:firstLine="709"/>
        <w:rPr>
          <w:b/>
          <w:lang w:eastAsia="ru-RU"/>
        </w:rPr>
      </w:pPr>
      <w:r w:rsidRPr="00B1622F">
        <w:rPr>
          <w:b/>
          <w:lang w:eastAsia="ru-RU"/>
        </w:rPr>
        <w:t>5. Документи, які повинен надати учасник</w:t>
      </w:r>
    </w:p>
    <w:p w:rsidR="00343302" w:rsidRPr="00B1622F" w:rsidRDefault="00343302" w:rsidP="00343302">
      <w:pPr>
        <w:suppressAutoHyphens w:val="0"/>
        <w:jc w:val="both"/>
        <w:rPr>
          <w:lang w:eastAsia="uk-UA"/>
        </w:rPr>
      </w:pPr>
      <w:r w:rsidRPr="00B1622F">
        <w:rPr>
          <w:lang w:eastAsia="uk-UA"/>
        </w:rPr>
        <w:t xml:space="preserve">         1. Копія свідоцтва про державну реєстрацію(для юридичних осіб та суб’єктів підприємницької діяльності) (у разі наявності) або Виписка з Єдиного державного реєстру юридичної та фізичних осіб – підприємств із зазначенням відповідних відомостей.</w:t>
      </w:r>
    </w:p>
    <w:p w:rsidR="00343302" w:rsidRPr="00B1622F" w:rsidRDefault="00343302" w:rsidP="00343302">
      <w:pPr>
        <w:suppressAutoHyphens w:val="0"/>
        <w:jc w:val="both"/>
        <w:rPr>
          <w:lang w:eastAsia="uk-UA"/>
        </w:rPr>
      </w:pPr>
      <w:r w:rsidRPr="00B1622F">
        <w:rPr>
          <w:lang w:eastAsia="uk-UA"/>
        </w:rPr>
        <w:tab/>
        <w:t>2. Копія довідки ЄДРПОУ (для юридичних осіб)</w:t>
      </w:r>
      <w:r w:rsidR="006361D1">
        <w:rPr>
          <w:lang w:eastAsia="uk-UA"/>
        </w:rPr>
        <w:t>.</w:t>
      </w:r>
    </w:p>
    <w:p w:rsidR="00343302" w:rsidRPr="00B1622F" w:rsidRDefault="00343302" w:rsidP="00343302">
      <w:pPr>
        <w:suppressAutoHyphens w:val="0"/>
        <w:jc w:val="both"/>
        <w:rPr>
          <w:lang w:eastAsia="uk-UA"/>
        </w:rPr>
      </w:pPr>
      <w:r w:rsidRPr="00B1622F">
        <w:rPr>
          <w:lang w:eastAsia="uk-UA"/>
        </w:rPr>
        <w:tab/>
        <w:t>3. Копія довідки про присвоєння ідентифікаційного коду(для фізичних осіб)</w:t>
      </w:r>
      <w:r w:rsidRPr="00B1622F">
        <w:rPr>
          <w:bCs/>
          <w:lang w:eastAsia="uk-UA"/>
        </w:rPr>
        <w:t>, або іншого документа, що підтверджує особу.</w:t>
      </w:r>
    </w:p>
    <w:p w:rsidR="00343302" w:rsidRPr="00B1622F" w:rsidRDefault="00343302" w:rsidP="00343302">
      <w:pPr>
        <w:suppressAutoHyphens w:val="0"/>
        <w:jc w:val="both"/>
        <w:rPr>
          <w:lang w:eastAsia="uk-UA"/>
        </w:rPr>
      </w:pPr>
      <w:r w:rsidRPr="00B1622F">
        <w:rPr>
          <w:lang w:eastAsia="uk-UA"/>
        </w:rPr>
        <w:t xml:space="preserve">       </w:t>
      </w:r>
      <w:r w:rsidR="006361D1">
        <w:rPr>
          <w:lang w:eastAsia="uk-UA"/>
        </w:rPr>
        <w:t xml:space="preserve">  </w:t>
      </w:r>
      <w:r w:rsidRPr="00B1622F">
        <w:rPr>
          <w:lang w:eastAsia="uk-UA"/>
        </w:rPr>
        <w:t xml:space="preserve">  4. Копія довідки про взяття на облік платника податків.</w:t>
      </w:r>
    </w:p>
    <w:p w:rsidR="00343302" w:rsidRPr="00B1622F" w:rsidRDefault="0030295D" w:rsidP="00343302">
      <w:pPr>
        <w:suppressAutoHyphens w:val="0"/>
        <w:jc w:val="both"/>
        <w:rPr>
          <w:lang w:eastAsia="uk-UA"/>
        </w:rPr>
      </w:pPr>
      <w:r w:rsidRPr="00B1622F">
        <w:rPr>
          <w:lang w:eastAsia="uk-UA"/>
        </w:rPr>
        <w:t xml:space="preserve">          </w:t>
      </w:r>
      <w:r w:rsidR="006361D1">
        <w:rPr>
          <w:lang w:eastAsia="uk-UA"/>
        </w:rPr>
        <w:t xml:space="preserve">  </w:t>
      </w:r>
      <w:r w:rsidRPr="00B1622F">
        <w:rPr>
          <w:lang w:eastAsia="uk-UA"/>
        </w:rPr>
        <w:t>5</w:t>
      </w:r>
      <w:r w:rsidR="00343302" w:rsidRPr="00B1622F">
        <w:rPr>
          <w:lang w:eastAsia="uk-UA"/>
        </w:rPr>
        <w:t xml:space="preserve">. </w:t>
      </w:r>
      <w:r w:rsidRPr="00B1622F">
        <w:rPr>
          <w:lang w:eastAsia="uk-UA"/>
        </w:rPr>
        <w:t>К</w:t>
      </w:r>
      <w:r w:rsidR="00343302" w:rsidRPr="00B1622F">
        <w:rPr>
          <w:lang w:eastAsia="uk-UA"/>
        </w:rPr>
        <w:t>опі</w:t>
      </w:r>
      <w:r w:rsidRPr="00B1622F">
        <w:rPr>
          <w:lang w:eastAsia="uk-UA"/>
        </w:rPr>
        <w:t>я</w:t>
      </w:r>
      <w:r w:rsidR="00343302" w:rsidRPr="00B1622F">
        <w:rPr>
          <w:lang w:eastAsia="uk-UA"/>
        </w:rPr>
        <w:t xml:space="preserve"> діючої ліцензії на постачання природного газу або копію рішення Уповноваженого органу про видачу ліцензії з постачання природного газу або лист, складений учасником, який містить інформацію про дату та номер рішення про видачу ліцензії, у випадку якщо діяльність, яка є предметом закупівлі підлягає ліцензуванню згідно чинного законодавства.</w:t>
      </w:r>
    </w:p>
    <w:p w:rsidR="00343302" w:rsidRPr="00B1622F" w:rsidRDefault="00343302" w:rsidP="00343302">
      <w:pPr>
        <w:suppressAutoHyphens w:val="0"/>
        <w:jc w:val="both"/>
        <w:rPr>
          <w:lang w:eastAsia="uk-UA"/>
        </w:rPr>
      </w:pPr>
      <w:r w:rsidRPr="00B1622F">
        <w:rPr>
          <w:lang w:eastAsia="uk-UA"/>
        </w:rPr>
        <w:tab/>
      </w:r>
      <w:r w:rsidR="0030295D" w:rsidRPr="00B1622F">
        <w:rPr>
          <w:lang w:eastAsia="uk-UA"/>
        </w:rPr>
        <w:t>6</w:t>
      </w:r>
      <w:r w:rsidRPr="00B1622F">
        <w:rPr>
          <w:lang w:eastAsia="uk-UA"/>
        </w:rPr>
        <w:t>. Гарантійн</w:t>
      </w:r>
      <w:r w:rsidR="0030295D" w:rsidRPr="00B1622F">
        <w:rPr>
          <w:lang w:eastAsia="uk-UA"/>
        </w:rPr>
        <w:t>ий</w:t>
      </w:r>
      <w:r w:rsidRPr="00B1622F">
        <w:rPr>
          <w:lang w:eastAsia="uk-UA"/>
        </w:rPr>
        <w:t xml:space="preserve"> лист від Учасника на відповідність запропонованого ним товару вимогам ДСТУ 5542-87 (ГОСТ 5542-87) та забезпечення Замовника природним газом відповідно до його потреб.</w:t>
      </w:r>
    </w:p>
    <w:p w:rsidR="00343302" w:rsidRPr="00B1622F" w:rsidRDefault="00343302" w:rsidP="00343302">
      <w:pPr>
        <w:suppressAutoHyphens w:val="0"/>
        <w:jc w:val="both"/>
        <w:rPr>
          <w:lang w:eastAsia="uk-UA"/>
        </w:rPr>
      </w:pPr>
      <w:r w:rsidRPr="00B1622F">
        <w:rPr>
          <w:lang w:eastAsia="uk-UA"/>
        </w:rPr>
        <w:tab/>
      </w:r>
      <w:r w:rsidR="0030295D" w:rsidRPr="00B1622F">
        <w:rPr>
          <w:lang w:eastAsia="uk-UA"/>
        </w:rPr>
        <w:t>7. Цінова</w:t>
      </w:r>
      <w:r w:rsidRPr="00B1622F">
        <w:rPr>
          <w:lang w:eastAsia="uk-UA"/>
        </w:rPr>
        <w:t xml:space="preserve"> пропозиці</w:t>
      </w:r>
      <w:r w:rsidR="0030295D" w:rsidRPr="00B1622F">
        <w:rPr>
          <w:lang w:eastAsia="uk-UA"/>
        </w:rPr>
        <w:t>я (Додаток 4)</w:t>
      </w:r>
      <w:r w:rsidRPr="00B1622F">
        <w:rPr>
          <w:lang w:eastAsia="uk-UA"/>
        </w:rPr>
        <w:t>.</w:t>
      </w:r>
    </w:p>
    <w:p w:rsidR="00343302" w:rsidRPr="00B1622F" w:rsidRDefault="00343302" w:rsidP="00343302">
      <w:pPr>
        <w:suppressAutoHyphens w:val="0"/>
        <w:jc w:val="both"/>
        <w:rPr>
          <w:lang w:eastAsia="uk-UA"/>
        </w:rPr>
      </w:pPr>
      <w:r w:rsidRPr="00B1622F">
        <w:rPr>
          <w:lang w:eastAsia="uk-UA"/>
        </w:rPr>
        <w:tab/>
      </w:r>
      <w:r w:rsidR="0030295D" w:rsidRPr="00B1622F">
        <w:rPr>
          <w:lang w:eastAsia="uk-UA"/>
        </w:rPr>
        <w:t>8</w:t>
      </w:r>
      <w:r w:rsidRPr="00B1622F">
        <w:rPr>
          <w:lang w:eastAsia="uk-UA"/>
        </w:rPr>
        <w:t xml:space="preserve">. </w:t>
      </w:r>
      <w:proofErr w:type="spellStart"/>
      <w:r w:rsidR="0030295D" w:rsidRPr="00B1622F">
        <w:rPr>
          <w:lang w:eastAsia="uk-UA"/>
        </w:rPr>
        <w:t>Л</w:t>
      </w:r>
      <w:r w:rsidRPr="00B1622F">
        <w:rPr>
          <w:lang w:eastAsia="uk-UA"/>
        </w:rPr>
        <w:t>ист</w:t>
      </w:r>
      <w:r w:rsidR="0030295D" w:rsidRPr="00B1622F">
        <w:rPr>
          <w:lang w:eastAsia="uk-UA"/>
        </w:rPr>
        <w:t>-</w:t>
      </w:r>
      <w:proofErr w:type="spellEnd"/>
      <w:r w:rsidRPr="00B1622F">
        <w:rPr>
          <w:lang w:eastAsia="uk-UA"/>
        </w:rPr>
        <w:t xml:space="preserve"> згод</w:t>
      </w:r>
      <w:r w:rsidR="0030295D" w:rsidRPr="00B1622F">
        <w:rPr>
          <w:lang w:eastAsia="uk-UA"/>
        </w:rPr>
        <w:t>а</w:t>
      </w:r>
      <w:r w:rsidRPr="00B1622F">
        <w:rPr>
          <w:lang w:eastAsia="uk-UA"/>
        </w:rPr>
        <w:t xml:space="preserve"> в довільній формі на обробку персональних даних учасника відповідно до вимог Закону України «Про захист персональних даних»</w:t>
      </w:r>
      <w:r w:rsidR="00C17D67" w:rsidRPr="00B1622F">
        <w:rPr>
          <w:lang w:eastAsia="uk-UA"/>
        </w:rPr>
        <w:t xml:space="preserve"> (Додаток 3)</w:t>
      </w:r>
      <w:r w:rsidRPr="00B1622F">
        <w:rPr>
          <w:lang w:eastAsia="uk-UA"/>
        </w:rPr>
        <w:t xml:space="preserve">.     </w:t>
      </w:r>
    </w:p>
    <w:p w:rsidR="00343302" w:rsidRPr="00B1622F" w:rsidRDefault="0030295D" w:rsidP="00343302">
      <w:pPr>
        <w:suppressAutoHyphens w:val="0"/>
        <w:jc w:val="both"/>
        <w:rPr>
          <w:lang w:eastAsia="zh-CN"/>
        </w:rPr>
      </w:pPr>
      <w:r w:rsidRPr="00B1622F">
        <w:rPr>
          <w:lang w:eastAsia="uk-UA"/>
        </w:rPr>
        <w:tab/>
        <w:t>9</w:t>
      </w:r>
      <w:r w:rsidR="00343302" w:rsidRPr="00B1622F">
        <w:rPr>
          <w:lang w:eastAsia="uk-UA"/>
        </w:rPr>
        <w:t xml:space="preserve">. </w:t>
      </w:r>
      <w:r w:rsidRPr="00B1622F">
        <w:rPr>
          <w:lang w:eastAsia="uk-UA"/>
        </w:rPr>
        <w:t>І</w:t>
      </w:r>
      <w:r w:rsidR="00343302" w:rsidRPr="00B1622F">
        <w:rPr>
          <w:lang w:eastAsia="zh-CN"/>
        </w:rPr>
        <w:t>нформаці</w:t>
      </w:r>
      <w:r w:rsidRPr="00B1622F">
        <w:rPr>
          <w:lang w:eastAsia="zh-CN"/>
        </w:rPr>
        <w:t>я</w:t>
      </w:r>
      <w:r w:rsidR="00343302" w:rsidRPr="00B1622F">
        <w:rPr>
          <w:lang w:eastAsia="zh-CN"/>
        </w:rPr>
        <w:t>, складен</w:t>
      </w:r>
      <w:r w:rsidRPr="00B1622F">
        <w:rPr>
          <w:lang w:eastAsia="zh-CN"/>
        </w:rPr>
        <w:t>а</w:t>
      </w:r>
      <w:r w:rsidR="00343302" w:rsidRPr="00B1622F">
        <w:rPr>
          <w:lang w:eastAsia="zh-CN"/>
        </w:rPr>
        <w:t xml:space="preserve"> у довільній формі про те, що технічні, якісні характеристики предмета закупівлі передбачають застосування заходів із захисту довкілля.</w:t>
      </w:r>
      <w:r w:rsidR="00343302" w:rsidRPr="00B1622F">
        <w:rPr>
          <w:i/>
          <w:lang w:eastAsia="zh-CN"/>
        </w:rPr>
        <w:t xml:space="preserve"> </w:t>
      </w:r>
      <w:r w:rsidR="00343302" w:rsidRPr="00B1622F">
        <w:rPr>
          <w:lang w:eastAsia="zh-CN"/>
        </w:rPr>
        <w:t>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довкілля.</w:t>
      </w:r>
    </w:p>
    <w:p w:rsidR="00343302" w:rsidRPr="00B1622F" w:rsidRDefault="00343302" w:rsidP="00343302">
      <w:pPr>
        <w:suppressAutoHyphens w:val="0"/>
        <w:jc w:val="both"/>
        <w:rPr>
          <w:lang w:eastAsia="uk-UA"/>
        </w:rPr>
      </w:pPr>
      <w:r w:rsidRPr="00B1622F">
        <w:rPr>
          <w:lang w:eastAsia="uk-UA"/>
        </w:rPr>
        <w:tab/>
        <w:t>1</w:t>
      </w:r>
      <w:r w:rsidR="0030295D" w:rsidRPr="00B1622F">
        <w:rPr>
          <w:lang w:eastAsia="uk-UA"/>
        </w:rPr>
        <w:t>0</w:t>
      </w:r>
      <w:r w:rsidRPr="00B1622F">
        <w:rPr>
          <w:lang w:eastAsia="uk-UA"/>
        </w:rPr>
        <w:t xml:space="preserve">. Погоджений </w:t>
      </w:r>
      <w:proofErr w:type="spellStart"/>
      <w:r w:rsidRPr="00B1622F">
        <w:rPr>
          <w:lang w:eastAsia="uk-UA"/>
        </w:rPr>
        <w:t>про</w:t>
      </w:r>
      <w:r w:rsidR="00D51947" w:rsidRPr="00B1622F">
        <w:rPr>
          <w:lang w:eastAsia="uk-UA"/>
        </w:rPr>
        <w:t>є</w:t>
      </w:r>
      <w:r w:rsidRPr="00B1622F">
        <w:rPr>
          <w:lang w:eastAsia="uk-UA"/>
        </w:rPr>
        <w:t>кт</w:t>
      </w:r>
      <w:proofErr w:type="spellEnd"/>
      <w:r w:rsidRPr="00B1622F">
        <w:rPr>
          <w:lang w:eastAsia="uk-UA"/>
        </w:rPr>
        <w:t xml:space="preserve"> договору</w:t>
      </w:r>
      <w:r w:rsidR="0030295D" w:rsidRPr="00B1622F">
        <w:rPr>
          <w:lang w:eastAsia="uk-UA"/>
        </w:rPr>
        <w:t xml:space="preserve"> (Додаток 5)</w:t>
      </w:r>
      <w:r w:rsidRPr="00B1622F">
        <w:rPr>
          <w:lang w:eastAsia="uk-UA"/>
        </w:rPr>
        <w:t>.</w:t>
      </w:r>
    </w:p>
    <w:p w:rsidR="00343302" w:rsidRPr="00B1622F" w:rsidRDefault="00343302" w:rsidP="00343302">
      <w:pPr>
        <w:suppressAutoHyphens w:val="0"/>
        <w:rPr>
          <w:i/>
        </w:rPr>
      </w:pPr>
      <w:r w:rsidRPr="00B1622F">
        <w:rPr>
          <w:i/>
        </w:rPr>
        <w:tab/>
      </w:r>
    </w:p>
    <w:p w:rsidR="00343302" w:rsidRPr="00B1622F" w:rsidRDefault="00343302" w:rsidP="00343302">
      <w:pPr>
        <w:suppressAutoHyphens w:val="0"/>
        <w:rPr>
          <w:i/>
        </w:rPr>
      </w:pPr>
      <w:r w:rsidRPr="00B1622F">
        <w:rPr>
          <w:i/>
        </w:rPr>
        <w:tab/>
        <w:t xml:space="preserve">Документи, що непередбачені законодавством для учасників, не подаються ними у складі пропозиції (з наданням законодавчо </w:t>
      </w:r>
      <w:proofErr w:type="spellStart"/>
      <w:r w:rsidRPr="00B1622F">
        <w:rPr>
          <w:i/>
        </w:rPr>
        <w:t>обгрунтованого</w:t>
      </w:r>
      <w:proofErr w:type="spellEnd"/>
      <w:r w:rsidRPr="00B1622F">
        <w:rPr>
          <w:i/>
        </w:rPr>
        <w:t xml:space="preserve"> письмового пояснення щодо їх ненадання).</w:t>
      </w:r>
    </w:p>
    <w:p w:rsidR="00343302" w:rsidRPr="00B1622F" w:rsidRDefault="00343302" w:rsidP="00343302">
      <w:pPr>
        <w:suppressAutoHyphens w:val="0"/>
        <w:spacing w:line="240" w:lineRule="atLeast"/>
        <w:rPr>
          <w:lang w:eastAsia="ru-RU"/>
        </w:rPr>
      </w:pPr>
      <w:r w:rsidRPr="00B1622F">
        <w:rPr>
          <w:lang w:eastAsia="ru-RU"/>
        </w:rPr>
        <w:tab/>
        <w:t xml:space="preserve">Документи повинні бути надані в електронному  вигляді у форматі </w:t>
      </w:r>
      <w:r w:rsidRPr="00B1622F">
        <w:rPr>
          <w:lang w:val="en-US" w:eastAsia="ru-RU"/>
        </w:rPr>
        <w:t>PDF</w:t>
      </w:r>
      <w:r w:rsidRPr="00B1622F">
        <w:rPr>
          <w:lang w:eastAsia="ru-RU"/>
        </w:rPr>
        <w:t xml:space="preserve"> (скановані або </w:t>
      </w:r>
      <w:proofErr w:type="spellStart"/>
      <w:r w:rsidRPr="00B1622F">
        <w:rPr>
          <w:lang w:eastAsia="ru-RU"/>
        </w:rPr>
        <w:t>оцифровані</w:t>
      </w:r>
      <w:proofErr w:type="spellEnd"/>
      <w:r w:rsidRPr="00B1622F">
        <w:rPr>
          <w:lang w:eastAsia="ru-RU"/>
        </w:rPr>
        <w:t>) та містити розбірливі зображення.</w:t>
      </w:r>
    </w:p>
    <w:p w:rsidR="00343302" w:rsidRPr="00B1622F" w:rsidRDefault="00343302" w:rsidP="00343302">
      <w:pPr>
        <w:suppressAutoHyphens w:val="0"/>
        <w:jc w:val="both"/>
        <w:rPr>
          <w:kern w:val="2"/>
          <w:lang w:eastAsia="uk-UA"/>
        </w:rPr>
      </w:pPr>
      <w:r w:rsidRPr="00B1622F">
        <w:rPr>
          <w:lang w:eastAsia="uk-UA"/>
        </w:rPr>
        <w:tab/>
        <w:t>Замовник залишає за собою право зменшити кількість товару після укладання договору у разі зменшення бюджетного фінансування. Учасник при формуванні ціни повинен врахувати усі витрати з урахуванням усіх  платежів, які можуть бути ним понесені у ході виконання договору про закупівлю.</w:t>
      </w:r>
      <w:r w:rsidRPr="00B1622F">
        <w:rPr>
          <w:kern w:val="2"/>
          <w:lang w:eastAsia="uk-UA"/>
        </w:rPr>
        <w:t xml:space="preserve"> </w:t>
      </w:r>
      <w:r w:rsidRPr="00B1622F">
        <w:rPr>
          <w:kern w:val="2"/>
          <w:lang w:eastAsia="uk-UA"/>
        </w:rPr>
        <w:tab/>
      </w:r>
    </w:p>
    <w:p w:rsidR="00343302" w:rsidRPr="00B1622F" w:rsidRDefault="00343302" w:rsidP="00520BC0">
      <w:pPr>
        <w:suppressAutoHyphens w:val="0"/>
        <w:jc w:val="both"/>
        <w:rPr>
          <w:lang w:eastAsia="zh-CN" w:bidi="hi-IN"/>
        </w:rPr>
      </w:pPr>
      <w:r w:rsidRPr="00B1622F">
        <w:rPr>
          <w:lang w:eastAsia="zh-CN" w:bidi="hi-IN"/>
        </w:rPr>
        <w:tab/>
        <w:t xml:space="preserve">Ціна на газ встановлюється учасником у відповідності до ст. 12 Закону України «Про ринок природного газу» та повинна включати до вартості ціни тендерної пропозиції вартість послуг, пов’язаних з постачанням газу до точки входу в газорозподільну систему, до якої підключено об’єкти замовника та не включати до вартості пропозиції конкурсних торгів вартість послуг з розподілу природного газу. У вартість товару необхідно включити сплату </w:t>
      </w:r>
      <w:r w:rsidRPr="00B1622F">
        <w:rPr>
          <w:lang w:eastAsia="zh-CN" w:bidi="hi-IN"/>
        </w:rPr>
        <w:lastRenderedPageBreak/>
        <w:t>податків та інших зборів та обов’язкових платежів в т.ч. ПДВ, тобто вказати ціну товару, за якою він відпускається покупцям.</w:t>
      </w:r>
    </w:p>
    <w:p w:rsidR="00596C16" w:rsidRDefault="00343302" w:rsidP="00596C16">
      <w:pPr>
        <w:suppressAutoHyphens w:val="0"/>
        <w:rPr>
          <w:shd w:val="clear" w:color="auto" w:fill="FFFFFF"/>
          <w:lang w:eastAsia="uk-UA"/>
        </w:rPr>
      </w:pPr>
      <w:r w:rsidRPr="00B1622F">
        <w:rPr>
          <w:shd w:val="clear" w:color="auto" w:fill="FFFFFF"/>
          <w:lang w:eastAsia="uk-UA"/>
        </w:rPr>
        <w:tab/>
      </w:r>
    </w:p>
    <w:p w:rsidR="00596C16" w:rsidRPr="00596C16" w:rsidRDefault="00596C16" w:rsidP="00596C16">
      <w:pPr>
        <w:pStyle w:val="a6"/>
        <w:numPr>
          <w:ilvl w:val="0"/>
          <w:numId w:val="5"/>
        </w:numPr>
        <w:suppressAutoHyphens w:val="0"/>
        <w:rPr>
          <w:rFonts w:eastAsia="Calibri"/>
          <w:b/>
          <w:i/>
          <w:spacing w:val="4"/>
          <w:lang w:eastAsia="en-US"/>
        </w:rPr>
      </w:pPr>
      <w:r w:rsidRPr="00596C16">
        <w:rPr>
          <w:rFonts w:eastAsia="Calibri"/>
          <w:i/>
          <w:lang w:eastAsia="en-US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596C16">
        <w:rPr>
          <w:rFonts w:eastAsia="Calibri"/>
          <w:b/>
          <w:i/>
          <w:lang w:eastAsia="en-US"/>
        </w:rPr>
        <w:t xml:space="preserve"> «або еквівалент»</w:t>
      </w:r>
      <w:r w:rsidRPr="00596C16">
        <w:rPr>
          <w:rFonts w:eastAsia="Calibri"/>
          <w:b/>
          <w:i/>
          <w:spacing w:val="4"/>
          <w:lang w:eastAsia="en-US"/>
        </w:rPr>
        <w:t xml:space="preserve"> </w:t>
      </w:r>
    </w:p>
    <w:p w:rsidR="00596C16" w:rsidRPr="004B3E60" w:rsidRDefault="00596C16" w:rsidP="00596C16">
      <w:pPr>
        <w:suppressAutoHyphens w:val="0"/>
        <w:spacing w:before="240" w:after="240"/>
        <w:ind w:firstLine="709"/>
        <w:contextualSpacing/>
        <w:jc w:val="both"/>
        <w:rPr>
          <w:rFonts w:eastAsia="Calibri"/>
          <w:b/>
          <w:i/>
          <w:lang w:eastAsia="en-US"/>
        </w:rPr>
      </w:pPr>
      <w:r w:rsidRPr="004B3E60">
        <w:rPr>
          <w:rFonts w:eastAsia="Calibri"/>
          <w:b/>
          <w:i/>
          <w:spacing w:val="4"/>
          <w:lang w:eastAsia="en-US"/>
        </w:rPr>
        <w:t xml:space="preserve">Технічні та якісні характеристики, кількість предмета закупівлі не може бути змінено під час пропонування еквіваленту товару. Такі показники мають бути незмінними під час подання Учасниками своїх пропозицій. </w:t>
      </w:r>
      <w:r w:rsidRPr="004B3E60">
        <w:rPr>
          <w:rFonts w:eastAsia="Calibri"/>
          <w:b/>
          <w:i/>
          <w:lang w:eastAsia="en-US"/>
        </w:rPr>
        <w:t>Посилання "або еквівалент" у документації Замовника міститься на виконання вимог Закону та стосується лише конкретної торговельної марки чи фірми, патенту, конструкції або типу предмета закупівлі, джерела його походження або виробника.</w:t>
      </w:r>
    </w:p>
    <w:p w:rsidR="00596C16" w:rsidRPr="004B3E60" w:rsidRDefault="00596C16" w:rsidP="00596C16">
      <w:pPr>
        <w:suppressAutoHyphens w:val="0"/>
        <w:spacing w:before="240" w:after="240"/>
        <w:ind w:firstLine="709"/>
        <w:contextualSpacing/>
        <w:jc w:val="both"/>
        <w:rPr>
          <w:rFonts w:eastAsia="Calibri"/>
          <w:b/>
          <w:i/>
          <w:lang w:val="ru-RU" w:eastAsia="en-US"/>
        </w:rPr>
      </w:pPr>
    </w:p>
    <w:p w:rsidR="00596C16" w:rsidRPr="004B3E60" w:rsidRDefault="00596C16" w:rsidP="00596C16">
      <w:pPr>
        <w:suppressAutoHyphens w:val="0"/>
        <w:spacing w:before="240" w:after="240"/>
        <w:jc w:val="both"/>
        <w:rPr>
          <w:rFonts w:eastAsia="Calibri"/>
          <w:b/>
          <w:i/>
          <w:color w:val="FF0000"/>
          <w:lang w:eastAsia="en-US"/>
        </w:rPr>
      </w:pPr>
      <w:r w:rsidRPr="004B3E60">
        <w:rPr>
          <w:rFonts w:eastAsia="Calibri"/>
          <w:b/>
          <w:i/>
          <w:color w:val="FF0000"/>
          <w:lang w:eastAsia="en-US"/>
        </w:rPr>
        <w:t xml:space="preserve">В </w:t>
      </w:r>
      <w:proofErr w:type="spellStart"/>
      <w:r w:rsidRPr="004B3E60">
        <w:rPr>
          <w:rFonts w:eastAsia="Calibri"/>
          <w:b/>
          <w:i/>
          <w:color w:val="FF0000"/>
          <w:lang w:eastAsia="en-US"/>
        </w:rPr>
        <w:t>зв</w:t>
      </w:r>
      <w:proofErr w:type="spellEnd"/>
      <w:r w:rsidRPr="004B3E60">
        <w:rPr>
          <w:rFonts w:eastAsia="Calibri"/>
          <w:b/>
          <w:i/>
          <w:color w:val="FF0000"/>
          <w:lang w:val="ru-RU" w:eastAsia="en-US"/>
        </w:rPr>
        <w:t>’</w:t>
      </w:r>
      <w:proofErr w:type="spellStart"/>
      <w:r w:rsidRPr="004B3E60">
        <w:rPr>
          <w:rFonts w:eastAsia="Calibri"/>
          <w:b/>
          <w:i/>
          <w:color w:val="FF0000"/>
          <w:lang w:eastAsia="en-US"/>
        </w:rPr>
        <w:t>язку</w:t>
      </w:r>
      <w:proofErr w:type="spellEnd"/>
      <w:r w:rsidRPr="004B3E60">
        <w:rPr>
          <w:rFonts w:eastAsia="Calibri"/>
          <w:b/>
          <w:i/>
          <w:color w:val="FF0000"/>
          <w:lang w:eastAsia="en-US"/>
        </w:rPr>
        <w:t xml:space="preserve"> із збройною агресією Росії проти України  товари російського та білоруського виробництва  Замовником розглядатись не будуть!!!!</w:t>
      </w:r>
    </w:p>
    <w:p w:rsidR="00343302" w:rsidRPr="00B1622F" w:rsidRDefault="00343302" w:rsidP="0030295D">
      <w:pPr>
        <w:suppressAutoHyphens w:val="0"/>
        <w:rPr>
          <w:lang w:eastAsia="ru-RU"/>
        </w:rPr>
      </w:pPr>
    </w:p>
    <w:p w:rsidR="00343302" w:rsidRPr="00B1622F" w:rsidRDefault="00343302" w:rsidP="00343302">
      <w:pPr>
        <w:suppressAutoHyphens w:val="0"/>
        <w:spacing w:line="240" w:lineRule="atLeast"/>
        <w:rPr>
          <w:lang w:eastAsia="ru-RU"/>
        </w:rPr>
      </w:pPr>
    </w:p>
    <w:p w:rsidR="00343302" w:rsidRPr="00B1622F" w:rsidRDefault="00343302" w:rsidP="00343302">
      <w:pPr>
        <w:suppressAutoHyphens w:val="0"/>
        <w:rPr>
          <w:lang w:eastAsia="ru-RU"/>
        </w:rPr>
      </w:pPr>
    </w:p>
    <w:p w:rsidR="00B741C4" w:rsidRPr="00B1622F" w:rsidRDefault="00B741C4" w:rsidP="00EE0412">
      <w:pPr>
        <w:ind w:firstLine="567"/>
        <w:jc w:val="center"/>
      </w:pPr>
    </w:p>
    <w:sectPr w:rsidR="00B741C4" w:rsidRPr="00B1622F" w:rsidSect="0095309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E1" w:rsidRDefault="00DB10E1" w:rsidP="007960D2">
      <w:r>
        <w:separator/>
      </w:r>
    </w:p>
  </w:endnote>
  <w:endnote w:type="continuationSeparator" w:id="0">
    <w:p w:rsidR="00DB10E1" w:rsidRDefault="00DB10E1" w:rsidP="0079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E1" w:rsidRDefault="00DB10E1" w:rsidP="007960D2">
      <w:r>
        <w:separator/>
      </w:r>
    </w:p>
  </w:footnote>
  <w:footnote w:type="continuationSeparator" w:id="0">
    <w:p w:rsidR="00DB10E1" w:rsidRDefault="00DB10E1" w:rsidP="00796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60E1"/>
    <w:multiLevelType w:val="hybridMultilevel"/>
    <w:tmpl w:val="A9B2C20A"/>
    <w:lvl w:ilvl="0" w:tplc="0422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25F551B7"/>
    <w:multiLevelType w:val="hybridMultilevel"/>
    <w:tmpl w:val="D8A839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AFB5F4F"/>
    <w:multiLevelType w:val="hybridMultilevel"/>
    <w:tmpl w:val="8124B2AE"/>
    <w:lvl w:ilvl="0" w:tplc="2D02F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778AA"/>
    <w:multiLevelType w:val="multilevel"/>
    <w:tmpl w:val="C9F68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AA60B36"/>
    <w:multiLevelType w:val="hybridMultilevel"/>
    <w:tmpl w:val="A1E6698E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3EF"/>
    <w:rsid w:val="0002477A"/>
    <w:rsid w:val="00066889"/>
    <w:rsid w:val="000729DF"/>
    <w:rsid w:val="000A656D"/>
    <w:rsid w:val="000E03F5"/>
    <w:rsid w:val="000E0495"/>
    <w:rsid w:val="000F7388"/>
    <w:rsid w:val="00104603"/>
    <w:rsid w:val="00104EC2"/>
    <w:rsid w:val="00112AA2"/>
    <w:rsid w:val="00134854"/>
    <w:rsid w:val="00136F12"/>
    <w:rsid w:val="001C23B2"/>
    <w:rsid w:val="00242D83"/>
    <w:rsid w:val="002663EF"/>
    <w:rsid w:val="002A53EF"/>
    <w:rsid w:val="002C215A"/>
    <w:rsid w:val="002C67F8"/>
    <w:rsid w:val="002D4E69"/>
    <w:rsid w:val="002D7E39"/>
    <w:rsid w:val="0030295D"/>
    <w:rsid w:val="003172F2"/>
    <w:rsid w:val="00343302"/>
    <w:rsid w:val="00381DF2"/>
    <w:rsid w:val="0039170A"/>
    <w:rsid w:val="0040242A"/>
    <w:rsid w:val="00475B5B"/>
    <w:rsid w:val="004835A5"/>
    <w:rsid w:val="004B3E60"/>
    <w:rsid w:val="005043E6"/>
    <w:rsid w:val="00506507"/>
    <w:rsid w:val="00520BC0"/>
    <w:rsid w:val="00532739"/>
    <w:rsid w:val="00576455"/>
    <w:rsid w:val="00585B18"/>
    <w:rsid w:val="0058643D"/>
    <w:rsid w:val="0059463B"/>
    <w:rsid w:val="00596C16"/>
    <w:rsid w:val="005B2144"/>
    <w:rsid w:val="006232F9"/>
    <w:rsid w:val="006361D1"/>
    <w:rsid w:val="00655509"/>
    <w:rsid w:val="00655FF0"/>
    <w:rsid w:val="0069494A"/>
    <w:rsid w:val="0069594B"/>
    <w:rsid w:val="006F5D37"/>
    <w:rsid w:val="00706C90"/>
    <w:rsid w:val="00736C9D"/>
    <w:rsid w:val="0074705C"/>
    <w:rsid w:val="00790C4B"/>
    <w:rsid w:val="007960D2"/>
    <w:rsid w:val="0079659E"/>
    <w:rsid w:val="00796654"/>
    <w:rsid w:val="007B0114"/>
    <w:rsid w:val="007B5261"/>
    <w:rsid w:val="007D22AC"/>
    <w:rsid w:val="007D4D0A"/>
    <w:rsid w:val="007E7038"/>
    <w:rsid w:val="008341E0"/>
    <w:rsid w:val="0085720B"/>
    <w:rsid w:val="00894E9A"/>
    <w:rsid w:val="008B265A"/>
    <w:rsid w:val="008E5770"/>
    <w:rsid w:val="008E60CF"/>
    <w:rsid w:val="0095309A"/>
    <w:rsid w:val="00955871"/>
    <w:rsid w:val="00A062ED"/>
    <w:rsid w:val="00A201D5"/>
    <w:rsid w:val="00A62B36"/>
    <w:rsid w:val="00A751AA"/>
    <w:rsid w:val="00B1622F"/>
    <w:rsid w:val="00B24B21"/>
    <w:rsid w:val="00B63D6F"/>
    <w:rsid w:val="00B741C4"/>
    <w:rsid w:val="00B96223"/>
    <w:rsid w:val="00BE0E15"/>
    <w:rsid w:val="00C17D67"/>
    <w:rsid w:val="00C54437"/>
    <w:rsid w:val="00C61D25"/>
    <w:rsid w:val="00C65FB1"/>
    <w:rsid w:val="00C83DFD"/>
    <w:rsid w:val="00D037A9"/>
    <w:rsid w:val="00D51947"/>
    <w:rsid w:val="00D55908"/>
    <w:rsid w:val="00D74750"/>
    <w:rsid w:val="00D87863"/>
    <w:rsid w:val="00DA25A1"/>
    <w:rsid w:val="00DB0077"/>
    <w:rsid w:val="00DB10E1"/>
    <w:rsid w:val="00E54E93"/>
    <w:rsid w:val="00E572F8"/>
    <w:rsid w:val="00E61EF4"/>
    <w:rsid w:val="00E61F21"/>
    <w:rsid w:val="00E73757"/>
    <w:rsid w:val="00E918DC"/>
    <w:rsid w:val="00EA39C0"/>
    <w:rsid w:val="00EB0A54"/>
    <w:rsid w:val="00EB742E"/>
    <w:rsid w:val="00EC1E7D"/>
    <w:rsid w:val="00EE0412"/>
    <w:rsid w:val="00EF619D"/>
    <w:rsid w:val="00F50883"/>
    <w:rsid w:val="00F60A6C"/>
    <w:rsid w:val="00F70B3E"/>
    <w:rsid w:val="00F82CC8"/>
    <w:rsid w:val="00F9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309A"/>
    <w:rPr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semiHidden/>
    <w:rsid w:val="0095309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790C4B"/>
  </w:style>
  <w:style w:type="paragraph" w:styleId="a6">
    <w:name w:val="List Paragraph"/>
    <w:basedOn w:val="a"/>
    <w:uiPriority w:val="34"/>
    <w:qFormat/>
    <w:rsid w:val="007B01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60D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60D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7960D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60D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433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3302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309A"/>
    <w:rPr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semiHidden/>
    <w:rsid w:val="0095309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790C4B"/>
  </w:style>
  <w:style w:type="paragraph" w:styleId="a6">
    <w:name w:val="List Paragraph"/>
    <w:basedOn w:val="a"/>
    <w:uiPriority w:val="34"/>
    <w:qFormat/>
    <w:rsid w:val="007B01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60D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60D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7960D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60D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433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3302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DE3D-1FBA-48BC-B4AE-978C3C0A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888088</dc:creator>
  <cp:lastModifiedBy>Admin</cp:lastModifiedBy>
  <cp:revision>4</cp:revision>
  <cp:lastPrinted>2021-09-02T11:31:00Z</cp:lastPrinted>
  <dcterms:created xsi:type="dcterms:W3CDTF">2023-11-24T09:55:00Z</dcterms:created>
  <dcterms:modified xsi:type="dcterms:W3CDTF">2023-12-18T12:10:00Z</dcterms:modified>
</cp:coreProperties>
</file>