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58" w:rsidRPr="00126C58" w:rsidRDefault="00126C58" w:rsidP="0012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C58">
        <w:rPr>
          <w:rFonts w:ascii="Times New Roman" w:hAnsi="Times New Roman" w:cs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filled="t">
            <v:fill color2="black"/>
            <v:imagedata r:id="rId5" o:title=""/>
          </v:shape>
          <o:OLEObject Type="Embed" ProgID="Word.Picture.8" ShapeID="_x0000_i1025" DrawAspect="Content" ObjectID="_1762171835" r:id="rId6"/>
        </w:object>
      </w:r>
    </w:p>
    <w:p w:rsidR="00126C58" w:rsidRPr="00126C58" w:rsidRDefault="00126C58" w:rsidP="00126C58">
      <w:pPr>
        <w:spacing w:after="0" w:line="240" w:lineRule="auto"/>
        <w:rPr>
          <w:rFonts w:ascii="Times New Roman" w:hAnsi="Times New Roman" w:cs="Times New Roman"/>
          <w:b/>
        </w:rPr>
      </w:pPr>
    </w:p>
    <w:p w:rsidR="00126C58" w:rsidRPr="00126C58" w:rsidRDefault="00126C58" w:rsidP="00126C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6C58">
        <w:rPr>
          <w:rFonts w:ascii="Times New Roman" w:hAnsi="Times New Roman" w:cs="Times New Roman"/>
          <w:sz w:val="28"/>
          <w:szCs w:val="28"/>
        </w:rPr>
        <w:t>ДЕРЖАВНА МИТНА СЛУЖБА УКРАЇНИ</w:t>
      </w:r>
    </w:p>
    <w:p w:rsidR="00126C58" w:rsidRPr="00126C58" w:rsidRDefault="00126C58" w:rsidP="00126C5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6C58" w:rsidRPr="00126C58" w:rsidRDefault="00126C58" w:rsidP="00126C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6C58">
        <w:rPr>
          <w:rFonts w:ascii="Times New Roman" w:hAnsi="Times New Roman" w:cs="Times New Roman"/>
          <w:b/>
          <w:sz w:val="28"/>
          <w:szCs w:val="28"/>
        </w:rPr>
        <w:t xml:space="preserve">СПЕЦІАЛІЗОВАНА ЛАБОРАТОРІЯ З ПИТАНЬ ЕКСПЕРТИЗИ </w:t>
      </w:r>
    </w:p>
    <w:p w:rsidR="00126C58" w:rsidRPr="00126C58" w:rsidRDefault="00126C58" w:rsidP="00126C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6C58">
        <w:rPr>
          <w:rFonts w:ascii="Times New Roman" w:hAnsi="Times New Roman" w:cs="Times New Roman"/>
          <w:b/>
          <w:sz w:val="28"/>
          <w:szCs w:val="28"/>
        </w:rPr>
        <w:t>ТА ДОСЛІДЖЕНЬ ДЕРЖМИТСЛУЖБИ</w:t>
      </w:r>
    </w:p>
    <w:p w:rsidR="00126C58" w:rsidRPr="00126C58" w:rsidRDefault="00126C58" w:rsidP="00126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C58" w:rsidRPr="00126C58" w:rsidRDefault="00126C58" w:rsidP="00DD39E9">
      <w:pPr>
        <w:pStyle w:val="11"/>
        <w:ind w:left="5103"/>
        <w:rPr>
          <w:sz w:val="28"/>
          <w:szCs w:val="28"/>
        </w:rPr>
      </w:pPr>
      <w:r w:rsidRPr="00126C58">
        <w:rPr>
          <w:sz w:val="28"/>
          <w:szCs w:val="28"/>
        </w:rPr>
        <w:t>ЗАТВЕРДЖЕНО</w:t>
      </w:r>
    </w:p>
    <w:p w:rsidR="00126C58" w:rsidRPr="00126C58" w:rsidRDefault="00126C58" w:rsidP="00DD39E9">
      <w:pPr>
        <w:pStyle w:val="a3"/>
        <w:ind w:left="5103"/>
        <w:rPr>
          <w:sz w:val="28"/>
          <w:szCs w:val="28"/>
        </w:rPr>
      </w:pPr>
      <w:r w:rsidRPr="00126C58">
        <w:rPr>
          <w:sz w:val="28"/>
          <w:szCs w:val="28"/>
        </w:rPr>
        <w:t>протокольним рішенням уповноваженої особи</w:t>
      </w:r>
    </w:p>
    <w:p w:rsidR="00126C58" w:rsidRPr="00126C58" w:rsidRDefault="00126C58" w:rsidP="00DD39E9">
      <w:pPr>
        <w:pStyle w:val="a3"/>
        <w:ind w:left="5103"/>
        <w:rPr>
          <w:sz w:val="28"/>
          <w:szCs w:val="28"/>
          <w:u w:val="single"/>
        </w:rPr>
      </w:pPr>
      <w:r w:rsidRPr="00126C58">
        <w:rPr>
          <w:sz w:val="28"/>
          <w:szCs w:val="28"/>
        </w:rPr>
        <w:t xml:space="preserve">від </w:t>
      </w:r>
      <w:r w:rsidRPr="00126C58">
        <w:rPr>
          <w:sz w:val="28"/>
          <w:szCs w:val="28"/>
          <w:u w:val="single"/>
        </w:rPr>
        <w:t xml:space="preserve">    </w:t>
      </w:r>
      <w:r w:rsidR="00DD39E9">
        <w:rPr>
          <w:sz w:val="28"/>
          <w:szCs w:val="28"/>
          <w:u w:val="single"/>
        </w:rPr>
        <w:t>22</w:t>
      </w:r>
      <w:r w:rsidRPr="00126C58">
        <w:rPr>
          <w:sz w:val="28"/>
          <w:szCs w:val="28"/>
          <w:u w:val="single"/>
        </w:rPr>
        <w:t xml:space="preserve">  .1</w:t>
      </w:r>
      <w:r w:rsidR="00A42CBC">
        <w:rPr>
          <w:sz w:val="28"/>
          <w:szCs w:val="28"/>
          <w:u w:val="single"/>
        </w:rPr>
        <w:t>1</w:t>
      </w:r>
      <w:bookmarkStart w:id="0" w:name="_GoBack"/>
      <w:bookmarkEnd w:id="0"/>
      <w:r w:rsidRPr="00126C58">
        <w:rPr>
          <w:sz w:val="28"/>
          <w:szCs w:val="28"/>
          <w:u w:val="single"/>
        </w:rPr>
        <w:t xml:space="preserve">.2023  </w:t>
      </w:r>
      <w:r w:rsidRPr="00126C58">
        <w:rPr>
          <w:sz w:val="28"/>
          <w:szCs w:val="28"/>
        </w:rPr>
        <w:t xml:space="preserve"> року №  </w:t>
      </w:r>
      <w:r w:rsidRPr="00126C58">
        <w:rPr>
          <w:sz w:val="28"/>
          <w:szCs w:val="28"/>
          <w:u w:val="single"/>
        </w:rPr>
        <w:t xml:space="preserve">    1</w:t>
      </w:r>
      <w:r w:rsidR="001C7EC3">
        <w:rPr>
          <w:sz w:val="28"/>
          <w:szCs w:val="28"/>
          <w:u w:val="single"/>
        </w:rPr>
        <w:t>83</w:t>
      </w:r>
      <w:r w:rsidRPr="00126C58">
        <w:rPr>
          <w:sz w:val="28"/>
          <w:szCs w:val="28"/>
          <w:u w:val="single"/>
        </w:rPr>
        <w:t xml:space="preserve">     </w:t>
      </w:r>
      <w:r w:rsidRPr="00126C58">
        <w:rPr>
          <w:color w:val="FFFFFF" w:themeColor="background1"/>
          <w:sz w:val="28"/>
          <w:szCs w:val="28"/>
          <w:u w:val="single"/>
        </w:rPr>
        <w:t>,</w:t>
      </w:r>
    </w:p>
    <w:p w:rsidR="00126C58" w:rsidRPr="00126C58" w:rsidRDefault="00126C58" w:rsidP="00DD39E9">
      <w:pPr>
        <w:pStyle w:val="a3"/>
        <w:ind w:left="5103"/>
        <w:rPr>
          <w:sz w:val="28"/>
          <w:szCs w:val="28"/>
        </w:rPr>
      </w:pPr>
    </w:p>
    <w:p w:rsidR="00126C58" w:rsidRPr="00126C58" w:rsidRDefault="00126C58" w:rsidP="00DD39E9">
      <w:pPr>
        <w:pStyle w:val="a3"/>
        <w:ind w:left="5103"/>
        <w:rPr>
          <w:sz w:val="28"/>
          <w:szCs w:val="28"/>
        </w:rPr>
      </w:pPr>
      <w:r w:rsidRPr="00126C58">
        <w:rPr>
          <w:sz w:val="28"/>
          <w:szCs w:val="28"/>
        </w:rPr>
        <w:t xml:space="preserve"> ______________ Анна МАЛАШЕНКО </w:t>
      </w:r>
    </w:p>
    <w:p w:rsidR="00126C58" w:rsidRPr="00126C58" w:rsidRDefault="00126C58" w:rsidP="00126C58">
      <w:pPr>
        <w:pStyle w:val="a3"/>
        <w:ind w:left="6946"/>
        <w:rPr>
          <w:sz w:val="28"/>
          <w:szCs w:val="28"/>
        </w:rPr>
      </w:pPr>
    </w:p>
    <w:p w:rsidR="00126C58" w:rsidRPr="00126C58" w:rsidRDefault="00126C58" w:rsidP="00126C58">
      <w:pPr>
        <w:pStyle w:val="a3"/>
        <w:rPr>
          <w:sz w:val="28"/>
          <w:szCs w:val="28"/>
        </w:rPr>
      </w:pPr>
    </w:p>
    <w:p w:rsidR="00126C58" w:rsidRPr="00126C58" w:rsidRDefault="00126C58" w:rsidP="00126C58">
      <w:pPr>
        <w:pStyle w:val="a3"/>
        <w:jc w:val="center"/>
        <w:rPr>
          <w:sz w:val="32"/>
          <w:szCs w:val="32"/>
        </w:rPr>
      </w:pPr>
      <w:r w:rsidRPr="00126C58">
        <w:rPr>
          <w:b/>
          <w:sz w:val="32"/>
          <w:szCs w:val="32"/>
        </w:rPr>
        <w:t>ЗМІНИ до</w:t>
      </w:r>
      <w:r w:rsidRPr="00126C58">
        <w:rPr>
          <w:sz w:val="32"/>
          <w:szCs w:val="32"/>
        </w:rPr>
        <w:t xml:space="preserve">  </w:t>
      </w:r>
      <w:r w:rsidRPr="00126C58">
        <w:rPr>
          <w:b/>
          <w:sz w:val="32"/>
          <w:szCs w:val="32"/>
        </w:rPr>
        <w:t>ТЕНДЕРНА ДОКУМЕНТАЦІЯ</w:t>
      </w:r>
    </w:p>
    <w:p w:rsidR="00126C58" w:rsidRDefault="00126C58" w:rsidP="00126C58">
      <w:pPr>
        <w:spacing w:after="0" w:line="240" w:lineRule="auto"/>
        <w:ind w:left="692"/>
        <w:jc w:val="center"/>
        <w:rPr>
          <w:rFonts w:ascii="Times New Roman" w:hAnsi="Times New Roman" w:cs="Times New Roman"/>
          <w:sz w:val="28"/>
          <w:szCs w:val="28"/>
        </w:rPr>
      </w:pPr>
      <w:r w:rsidRPr="00126C58">
        <w:rPr>
          <w:rFonts w:ascii="Times New Roman" w:hAnsi="Times New Roman" w:cs="Times New Roman"/>
          <w:sz w:val="28"/>
          <w:szCs w:val="28"/>
        </w:rPr>
        <w:t>на закупівлю товару за предметом:</w:t>
      </w:r>
    </w:p>
    <w:p w:rsidR="004360CB" w:rsidRPr="00126C58" w:rsidRDefault="004360CB" w:rsidP="00126C58">
      <w:pPr>
        <w:spacing w:after="0" w:line="240" w:lineRule="auto"/>
        <w:ind w:left="692"/>
        <w:jc w:val="center"/>
        <w:rPr>
          <w:rFonts w:ascii="Times New Roman" w:hAnsi="Times New Roman" w:cs="Times New Roman"/>
          <w:sz w:val="28"/>
          <w:szCs w:val="28"/>
        </w:rPr>
      </w:pPr>
    </w:p>
    <w:p w:rsidR="004360CB" w:rsidRPr="004360CB" w:rsidRDefault="00126C58" w:rsidP="004360CB">
      <w:pPr>
        <w:spacing w:after="0"/>
        <w:jc w:val="center"/>
        <w:rPr>
          <w:rFonts w:ascii="Times New Roman" w:eastAsia="Calibri" w:hAnsi="Times New Roman" w:cs="Times New Roman"/>
          <w:b/>
          <w:color w:val="121212"/>
          <w:sz w:val="28"/>
          <w:szCs w:val="28"/>
        </w:rPr>
      </w:pPr>
      <w:r w:rsidRPr="004360CB">
        <w:rPr>
          <w:rFonts w:ascii="Times New Roman" w:eastAsia="Calibri" w:hAnsi="Times New Roman" w:cs="Times New Roman"/>
          <w:b/>
          <w:color w:val="121212"/>
          <w:sz w:val="28"/>
          <w:szCs w:val="28"/>
        </w:rPr>
        <w:t xml:space="preserve">Код CPV ДК 021:2015: 38430000-8 — "Детектори та аналізатори" </w:t>
      </w:r>
    </w:p>
    <w:p w:rsidR="004360CB" w:rsidRPr="004360CB" w:rsidRDefault="00126C58" w:rsidP="004360C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4360CB">
        <w:rPr>
          <w:rFonts w:ascii="Times New Roman" w:eastAsia="Calibri" w:hAnsi="Times New Roman" w:cs="Times New Roman"/>
          <w:b/>
          <w:color w:val="121212"/>
          <w:sz w:val="28"/>
          <w:szCs w:val="28"/>
        </w:rPr>
        <w:t>(</w:t>
      </w:r>
      <w:r w:rsidR="004360CB" w:rsidRPr="004360CB">
        <w:rPr>
          <w:rFonts w:ascii="Times New Roman" w:hAnsi="Times New Roman" w:cs="Times New Roman"/>
          <w:b/>
          <w:i/>
          <w:sz w:val="28"/>
          <w:szCs w:val="28"/>
        </w:rPr>
        <w:t xml:space="preserve">ІЧ-Фур'є спектрометр для </w:t>
      </w:r>
      <w:r w:rsidR="004360CB" w:rsidRPr="004360CB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ідентифікації окремих </w:t>
      </w:r>
      <w:proofErr w:type="spellStart"/>
      <w:r w:rsidR="004360CB" w:rsidRPr="004360CB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сполук</w:t>
      </w:r>
      <w:proofErr w:type="spellEnd"/>
      <w:r w:rsidR="004360CB" w:rsidRPr="004360CB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визначеного хімічного складу, лакофарбової продукції, поверхнево-активних речовин та засобів, сумішевих продуктів, полімерних матеріалів, гуми, нафтопродуктів, метилових </w:t>
      </w:r>
      <w:proofErr w:type="spellStart"/>
      <w:r w:rsidR="004360CB" w:rsidRPr="004360CB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естерів</w:t>
      </w:r>
      <w:proofErr w:type="spellEnd"/>
      <w:r w:rsidR="004360CB" w:rsidRPr="004360CB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жирних кислот (МЕЖК)</w:t>
      </w:r>
    </w:p>
    <w:p w:rsidR="00126C58" w:rsidRPr="004360CB" w:rsidRDefault="004360CB" w:rsidP="00436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0CB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у дизельному паливі</w:t>
      </w:r>
      <w:r w:rsidR="00126C58" w:rsidRPr="004360CB">
        <w:rPr>
          <w:rFonts w:ascii="Times New Roman" w:hAnsi="Times New Roman" w:cs="Times New Roman"/>
          <w:b/>
          <w:sz w:val="28"/>
          <w:szCs w:val="28"/>
        </w:rPr>
        <w:t>)</w:t>
      </w:r>
    </w:p>
    <w:p w:rsidR="00126C58" w:rsidRPr="00126C58" w:rsidRDefault="00126C58" w:rsidP="00126C58">
      <w:pPr>
        <w:spacing w:after="0" w:line="240" w:lineRule="auto"/>
        <w:ind w:left="6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6C58" w:rsidRPr="00126C58" w:rsidRDefault="00126C58" w:rsidP="00126C58">
      <w:pPr>
        <w:spacing w:after="0" w:line="240" w:lineRule="auto"/>
        <w:ind w:left="6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C58">
        <w:rPr>
          <w:rFonts w:ascii="Times New Roman" w:hAnsi="Times New Roman" w:cs="Times New Roman"/>
          <w:b/>
          <w:i/>
          <w:sz w:val="28"/>
          <w:szCs w:val="28"/>
        </w:rPr>
        <w:t>Процедура закупівлі – відкриті торги з особливостями</w:t>
      </w:r>
    </w:p>
    <w:p w:rsidR="00126C58" w:rsidRPr="00126C58" w:rsidRDefault="00126C58" w:rsidP="00126C58">
      <w:pPr>
        <w:spacing w:after="0" w:line="240" w:lineRule="auto"/>
        <w:ind w:left="6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C58">
        <w:rPr>
          <w:rFonts w:ascii="Times New Roman" w:hAnsi="Times New Roman" w:cs="Times New Roman"/>
          <w:b/>
          <w:i/>
          <w:sz w:val="28"/>
          <w:szCs w:val="28"/>
        </w:rPr>
        <w:t>(на очікувану вартість)</w:t>
      </w:r>
    </w:p>
    <w:p w:rsidR="00126C58" w:rsidRPr="00126C58" w:rsidRDefault="00126C58" w:rsidP="00126C58">
      <w:pPr>
        <w:pStyle w:val="a3"/>
        <w:ind w:left="709"/>
        <w:rPr>
          <w:sz w:val="32"/>
          <w:szCs w:val="32"/>
        </w:rPr>
      </w:pPr>
    </w:p>
    <w:p w:rsidR="00126C58" w:rsidRPr="001C7EC3" w:rsidRDefault="00126C58" w:rsidP="00126C58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7EC3">
        <w:rPr>
          <w:rFonts w:ascii="Times New Roman" w:hAnsi="Times New Roman" w:cs="Times New Roman"/>
          <w:i/>
          <w:sz w:val="24"/>
          <w:szCs w:val="24"/>
        </w:rPr>
        <w:t xml:space="preserve">(у відповідності  </w:t>
      </w:r>
      <w:r w:rsidRPr="001C7EC3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до </w:t>
      </w:r>
      <w:r w:rsidRPr="001C7EC3">
        <w:rPr>
          <w:rFonts w:ascii="Times New Roman" w:hAnsi="Times New Roman" w:cs="Times New Roman"/>
          <w:i/>
          <w:sz w:val="24"/>
          <w:szCs w:val="24"/>
        </w:rPr>
        <w:t xml:space="preserve">вимог Закону України «Про публічні закупівлі» в редакції Закону України  № 114-IX від 19.09.2019 із змінами та постанови Кабінету Міністрів України «Про затвердження особливостей здійснення публічних </w:t>
      </w:r>
      <w:proofErr w:type="spellStart"/>
      <w:r w:rsidRPr="001C7EC3">
        <w:rPr>
          <w:rFonts w:ascii="Times New Roman" w:hAnsi="Times New Roman" w:cs="Times New Roman"/>
          <w:i/>
          <w:sz w:val="24"/>
          <w:szCs w:val="24"/>
        </w:rPr>
        <w:t>закупівель</w:t>
      </w:r>
      <w:proofErr w:type="spellEnd"/>
      <w:r w:rsidRPr="001C7EC3">
        <w:rPr>
          <w:rFonts w:ascii="Times New Roman" w:hAnsi="Times New Roman" w:cs="Times New Roman"/>
          <w:i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із змінами)</w:t>
      </w:r>
    </w:p>
    <w:p w:rsidR="00126C58" w:rsidRPr="00126C58" w:rsidRDefault="00126C58" w:rsidP="00126C58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26C58" w:rsidRPr="00126C58" w:rsidRDefault="00126C58" w:rsidP="00126C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26C58" w:rsidRPr="00126C58" w:rsidRDefault="00126C58" w:rsidP="00126C58">
      <w:pPr>
        <w:pStyle w:val="a3"/>
        <w:rPr>
          <w:b/>
          <w:sz w:val="28"/>
          <w:szCs w:val="28"/>
        </w:rPr>
      </w:pPr>
    </w:p>
    <w:p w:rsidR="00126C58" w:rsidRPr="00126C58" w:rsidRDefault="00126C58" w:rsidP="00126C58">
      <w:pPr>
        <w:pStyle w:val="a3"/>
        <w:rPr>
          <w:b/>
          <w:sz w:val="30"/>
        </w:rPr>
      </w:pPr>
    </w:p>
    <w:p w:rsidR="00126C58" w:rsidRPr="00126C58" w:rsidRDefault="00126C58" w:rsidP="00126C58">
      <w:pPr>
        <w:pStyle w:val="a3"/>
        <w:rPr>
          <w:b/>
          <w:sz w:val="30"/>
        </w:rPr>
      </w:pPr>
    </w:p>
    <w:p w:rsidR="00126C58" w:rsidRPr="00126C58" w:rsidRDefault="00126C58" w:rsidP="00126C58">
      <w:pPr>
        <w:pStyle w:val="a3"/>
        <w:rPr>
          <w:b/>
          <w:sz w:val="30"/>
        </w:rPr>
      </w:pPr>
    </w:p>
    <w:p w:rsidR="00126C58" w:rsidRPr="00126C58" w:rsidRDefault="00126C58" w:rsidP="00126C58">
      <w:pPr>
        <w:pStyle w:val="a3"/>
        <w:rPr>
          <w:b/>
          <w:sz w:val="30"/>
        </w:rPr>
      </w:pPr>
    </w:p>
    <w:p w:rsidR="00126C58" w:rsidRPr="00126C58" w:rsidRDefault="00126C58" w:rsidP="00126C58">
      <w:pPr>
        <w:pStyle w:val="a3"/>
        <w:rPr>
          <w:b/>
          <w:sz w:val="30"/>
        </w:rPr>
      </w:pPr>
    </w:p>
    <w:p w:rsidR="00126C58" w:rsidRPr="00126C58" w:rsidRDefault="00126C58" w:rsidP="00126C58">
      <w:pPr>
        <w:pStyle w:val="a3"/>
        <w:rPr>
          <w:b/>
          <w:sz w:val="30"/>
        </w:rPr>
      </w:pPr>
    </w:p>
    <w:p w:rsidR="00126C58" w:rsidRPr="00126C58" w:rsidRDefault="00126C58" w:rsidP="00126C58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26C58">
        <w:rPr>
          <w:rFonts w:ascii="Times New Roman" w:hAnsi="Times New Roman" w:cs="Times New Roman"/>
          <w:sz w:val="24"/>
          <w:szCs w:val="24"/>
        </w:rPr>
        <w:t>Київ 2023 рік</w:t>
      </w:r>
    </w:p>
    <w:p w:rsidR="00126C58" w:rsidRDefault="00126C58" w:rsidP="009979D0">
      <w:pPr>
        <w:spacing w:after="0" w:line="276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4360CB" w:rsidRDefault="004360CB" w:rsidP="009979D0">
      <w:pPr>
        <w:spacing w:after="0" w:line="276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4360CB" w:rsidRDefault="004360CB" w:rsidP="009979D0">
      <w:pPr>
        <w:spacing w:after="0" w:line="276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4360CB" w:rsidRDefault="004360CB" w:rsidP="009979D0">
      <w:pPr>
        <w:spacing w:after="0" w:line="276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4360CB" w:rsidRDefault="004360CB" w:rsidP="009979D0">
      <w:pPr>
        <w:spacing w:after="0" w:line="276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9979D0" w:rsidRPr="009979D0" w:rsidRDefault="009979D0" w:rsidP="009979D0">
      <w:pPr>
        <w:spacing w:after="0" w:line="276" w:lineRule="auto"/>
        <w:jc w:val="right"/>
        <w:rPr>
          <w:rFonts w:ascii="Times New Roman" w:hAnsi="Times New Roman" w:cs="Times New Roman"/>
          <w:lang w:eastAsia="ru-RU"/>
        </w:rPr>
      </w:pPr>
      <w:r w:rsidRPr="009979D0">
        <w:rPr>
          <w:rFonts w:ascii="Times New Roman" w:hAnsi="Times New Roman" w:cs="Times New Roman"/>
          <w:b/>
          <w:lang w:eastAsia="ru-RU"/>
        </w:rPr>
        <w:t>ДОДАТОК № 3</w:t>
      </w:r>
    </w:p>
    <w:p w:rsidR="009979D0" w:rsidRPr="009979D0" w:rsidRDefault="009979D0" w:rsidP="009979D0">
      <w:pPr>
        <w:spacing w:after="0" w:line="276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9979D0">
        <w:rPr>
          <w:rFonts w:ascii="Times New Roman" w:hAnsi="Times New Roman" w:cs="Times New Roman"/>
          <w:lang w:eastAsia="ru-RU"/>
        </w:rPr>
        <w:t>до  т</w:t>
      </w:r>
      <w:r w:rsidRPr="009979D0">
        <w:rPr>
          <w:rFonts w:ascii="Times New Roman" w:hAnsi="Times New Roman" w:cs="Times New Roman"/>
          <w:color w:val="000000"/>
          <w:lang w:eastAsia="ru-RU"/>
        </w:rPr>
        <w:t>ендерн</w:t>
      </w:r>
      <w:r w:rsidRPr="009979D0">
        <w:rPr>
          <w:rFonts w:ascii="Times New Roman" w:hAnsi="Times New Roman" w:cs="Times New Roman"/>
          <w:lang w:eastAsia="ru-RU"/>
        </w:rPr>
        <w:t>ої</w:t>
      </w:r>
      <w:r w:rsidRPr="009979D0">
        <w:rPr>
          <w:rFonts w:ascii="Times New Roman" w:hAnsi="Times New Roman" w:cs="Times New Roman"/>
          <w:color w:val="000000"/>
          <w:lang w:eastAsia="ru-RU"/>
        </w:rPr>
        <w:t xml:space="preserve"> документаці</w:t>
      </w:r>
      <w:r w:rsidRPr="009979D0">
        <w:rPr>
          <w:rFonts w:ascii="Times New Roman" w:hAnsi="Times New Roman" w:cs="Times New Roman"/>
          <w:lang w:eastAsia="ru-RU"/>
        </w:rPr>
        <w:t>ї</w:t>
      </w:r>
    </w:p>
    <w:p w:rsidR="009979D0" w:rsidRPr="009979D0" w:rsidRDefault="009979D0" w:rsidP="009979D0">
      <w:pPr>
        <w:pStyle w:val="a3"/>
        <w:ind w:left="696" w:firstLine="720"/>
        <w:jc w:val="center"/>
        <w:rPr>
          <w:b/>
          <w:lang w:eastAsia="ru-RU"/>
        </w:rPr>
      </w:pPr>
    </w:p>
    <w:p w:rsidR="009979D0" w:rsidRPr="009979D0" w:rsidRDefault="009979D0" w:rsidP="009979D0">
      <w:pPr>
        <w:pStyle w:val="a3"/>
        <w:ind w:left="696" w:firstLine="720"/>
        <w:jc w:val="center"/>
        <w:rPr>
          <w:b/>
        </w:rPr>
      </w:pPr>
      <w:r w:rsidRPr="009979D0">
        <w:rPr>
          <w:b/>
          <w:lang w:eastAsia="ru-RU"/>
        </w:rPr>
        <w:t>Предметом закупівлі згідно умов цієї Тендерної документації є:</w:t>
      </w:r>
    </w:p>
    <w:p w:rsidR="009979D0" w:rsidRPr="009979D0" w:rsidRDefault="009979D0" w:rsidP="009979D0">
      <w:pPr>
        <w:spacing w:after="0"/>
        <w:jc w:val="center"/>
        <w:rPr>
          <w:rFonts w:ascii="Times New Roman" w:hAnsi="Times New Roman" w:cs="Times New Roman"/>
          <w:b/>
          <w:i/>
          <w:color w:val="000000"/>
          <w:lang w:eastAsia="uk-UA"/>
        </w:rPr>
      </w:pPr>
      <w:r w:rsidRPr="009979D0">
        <w:rPr>
          <w:rFonts w:ascii="Times New Roman" w:hAnsi="Times New Roman" w:cs="Times New Roman"/>
          <w:b/>
          <w:i/>
        </w:rPr>
        <w:t xml:space="preserve">ІЧ-Фур'є спектрометр для </w:t>
      </w:r>
      <w:r w:rsidRPr="009979D0">
        <w:rPr>
          <w:rFonts w:ascii="Times New Roman" w:hAnsi="Times New Roman" w:cs="Times New Roman"/>
          <w:b/>
          <w:i/>
          <w:color w:val="000000"/>
          <w:lang w:eastAsia="uk-UA"/>
        </w:rPr>
        <w:t xml:space="preserve">ідентифікації окремих </w:t>
      </w:r>
      <w:proofErr w:type="spellStart"/>
      <w:r w:rsidRPr="009979D0">
        <w:rPr>
          <w:rFonts w:ascii="Times New Roman" w:hAnsi="Times New Roman" w:cs="Times New Roman"/>
          <w:b/>
          <w:i/>
          <w:color w:val="000000"/>
          <w:lang w:eastAsia="uk-UA"/>
        </w:rPr>
        <w:t>сполук</w:t>
      </w:r>
      <w:proofErr w:type="spellEnd"/>
      <w:r w:rsidRPr="009979D0">
        <w:rPr>
          <w:rFonts w:ascii="Times New Roman" w:hAnsi="Times New Roman" w:cs="Times New Roman"/>
          <w:b/>
          <w:i/>
          <w:color w:val="000000"/>
          <w:lang w:eastAsia="uk-UA"/>
        </w:rPr>
        <w:t xml:space="preserve"> визначеного хімічного складу, лакофарбової продукції, поверхнево-активних речовин та засобів, сумішевих продуктів, полімерних матеріалів, гуми, нафтопродуктів, метилових </w:t>
      </w:r>
      <w:proofErr w:type="spellStart"/>
      <w:r w:rsidRPr="009979D0">
        <w:rPr>
          <w:rFonts w:ascii="Times New Roman" w:hAnsi="Times New Roman" w:cs="Times New Roman"/>
          <w:b/>
          <w:i/>
          <w:color w:val="000000"/>
          <w:lang w:eastAsia="uk-UA"/>
        </w:rPr>
        <w:t>естерів</w:t>
      </w:r>
      <w:proofErr w:type="spellEnd"/>
      <w:r w:rsidRPr="009979D0">
        <w:rPr>
          <w:rFonts w:ascii="Times New Roman" w:hAnsi="Times New Roman" w:cs="Times New Roman"/>
          <w:b/>
          <w:i/>
          <w:color w:val="000000"/>
          <w:lang w:eastAsia="uk-UA"/>
        </w:rPr>
        <w:t xml:space="preserve"> жирних кислот (МЕЖК)</w:t>
      </w:r>
    </w:p>
    <w:p w:rsidR="00D376F6" w:rsidRPr="009979D0" w:rsidRDefault="009979D0" w:rsidP="009979D0">
      <w:pPr>
        <w:spacing w:after="0"/>
        <w:jc w:val="center"/>
        <w:rPr>
          <w:rFonts w:ascii="Times New Roman" w:hAnsi="Times New Roman" w:cs="Times New Roman"/>
        </w:rPr>
      </w:pPr>
      <w:r w:rsidRPr="009979D0">
        <w:rPr>
          <w:rFonts w:ascii="Times New Roman" w:hAnsi="Times New Roman" w:cs="Times New Roman"/>
          <w:b/>
          <w:i/>
          <w:color w:val="000000"/>
          <w:lang w:eastAsia="uk-UA"/>
        </w:rPr>
        <w:t>у дизельному паливі</w:t>
      </w:r>
    </w:p>
    <w:p w:rsidR="009979D0" w:rsidRDefault="009979D0"/>
    <w:tbl>
      <w:tblPr>
        <w:tblStyle w:val="TableNormal"/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5771"/>
        <w:gridCol w:w="1843"/>
        <w:gridCol w:w="1427"/>
      </w:tblGrid>
      <w:tr w:rsidR="009979D0" w:rsidRPr="003D7320" w:rsidTr="00791F1F">
        <w:trPr>
          <w:trHeight w:val="354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9979D0" w:rsidRPr="003D7320" w:rsidTr="00791F1F">
        <w:trPr>
          <w:trHeight w:val="354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Компактний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переносний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науково-дослідний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на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ІЧ-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Фур’є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спектрометра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комплектів</w:t>
            </w:r>
            <w:proofErr w:type="spellEnd"/>
          </w:p>
        </w:tc>
      </w:tr>
      <w:tr w:rsidR="009979D0" w:rsidRPr="003D7320" w:rsidTr="00791F1F">
        <w:trPr>
          <w:trHeight w:val="43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молекулярного складу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об’єктів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органічної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неорганічної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полімерів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ІЧ-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Фур’є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спектрометр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</w:pPr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Приставка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порушеного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повного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внутрішнього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відбиття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 (ППВВ) з алмазною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>ZnSe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германієвою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 призмами;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Приставка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порушеного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повного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внутрішнього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відбиття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(ППВВ) з алмазною та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германієвою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призмами</w:t>
            </w: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Приставка для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швидкого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рідких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речовин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пробопідготовки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методом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пропускання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з кюветою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ZnSe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товщина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шару </w:t>
            </w:r>
            <w:proofErr w:type="gram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0.1  мм</w:t>
            </w:r>
            <w:proofErr w:type="gram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)</w:t>
            </w: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Нерозбірна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проточна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кювета 0,1 мм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стеклами з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BaF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₂ з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двома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роз'ємами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Luer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Lock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таблеток та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  <w:proofErr w:type="gram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прямим методом без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рідких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прямим методом без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Стандарт для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перевірки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метрологічних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характеристик ІЧ-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Фур’є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спектрометру;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Стандартні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зразки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метрологічних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характеристик ІЧ-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Фур’є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спектрометру;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2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Портативна переносна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станція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системою,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(ноутбук);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Програмне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набором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спектрів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комплектів</w:t>
            </w:r>
            <w:proofErr w:type="spellEnd"/>
          </w:p>
        </w:tc>
      </w:tr>
      <w:tr w:rsidR="009979D0" w:rsidRPr="003D7320" w:rsidTr="00791F1F">
        <w:trPr>
          <w:trHeight w:val="275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ІЧ-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Фур’є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спектрометр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9D0" w:rsidRPr="003D7320" w:rsidTr="00791F1F">
        <w:trPr>
          <w:trHeight w:val="275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спектрофотометру –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поглинання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відбиття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додаткової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приставки)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Джерело</w:t>
            </w:r>
            <w:proofErr w:type="spellEnd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ІЧ-</w:t>
            </w:r>
            <w:proofErr w:type="spellStart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випромінювання</w:t>
            </w:r>
            <w:proofErr w:type="spellEnd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лише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високоенергетичне</w:t>
            </w:r>
            <w:proofErr w:type="spellEnd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керамічне</w:t>
            </w:r>
            <w:proofErr w:type="spellEnd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джерело</w:t>
            </w:r>
            <w:proofErr w:type="spellEnd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 ІЧ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випромінювання</w:t>
            </w:r>
            <w:proofErr w:type="spellEnd"/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Джерело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ІЧ-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випромінювання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лише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високоенергетичне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керамічне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джерело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ІЧ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випромінювання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бажано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електронною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стабілізацією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(для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подовженого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служби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через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економії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його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заміні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95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Інтерферометр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: Майкельсона (30°- 45°)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Інтерферометр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Майкельсона (30°- 45°)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ротаційний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інтерферометр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Майкельсона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95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Відтворюваність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довжини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хвилі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більше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±0.01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 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см-1 (при 2000 см-1)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Відтворюваність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прецизійність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довжини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хвилі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більше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±0.01</w:t>
            </w:r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см-1 (при 2000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3000</w:t>
            </w:r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см-1)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Детектор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DLaTGS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DTGS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7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Спектральний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діапазон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вужче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7800-350 см-1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Спектральна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см-1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236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Співвідношення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сигнал-шум: не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20000:1 (4 см-1; 1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2200 см-1,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піку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Вага: не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більше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10 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Вага: не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більше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13 кг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6D3FD4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Габарити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більше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400 х 300 х 260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 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мм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Габарити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більше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450 х 300 х 260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Приставка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порушеного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повного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внутрішнього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відбиття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(ППВВ)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9D0" w:rsidRPr="003D7320" w:rsidTr="00791F1F">
        <w:trPr>
          <w:trHeight w:val="263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однократне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ППВВ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27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Типи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кристалів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комплекті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монолітний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алмаз</w:t>
            </w:r>
            <w:r w:rsidRPr="002F548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val="ru-RU" w:eastAsia="uk-UA"/>
              </w:rPr>
              <w:t>/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германій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чорних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зразків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)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кристалів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комплекті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алмаз</w:t>
            </w:r>
            <w:r w:rsidRPr="002F54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/</w:t>
            </w:r>
            <w:proofErr w:type="spellStart"/>
            <w:r w:rsidRPr="002F54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ZnSe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германій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вимірювання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чорних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зразків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27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Спектральний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діапазон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приставки: не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вужче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40-10000 см-1 </w:t>
            </w:r>
            <w:proofErr w:type="gram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для алмазу</w:t>
            </w:r>
            <w:proofErr w:type="gram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,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500-7800 см-</w:t>
            </w:r>
            <w:proofErr w:type="gram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1  для</w:t>
            </w:r>
            <w:proofErr w:type="gram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ZnSe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та 480-5500 см-1 для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германію</w:t>
            </w:r>
            <w:proofErr w:type="spellEnd"/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Спектральний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діапазон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приставки: не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вужче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515-10000 см-1 </w:t>
            </w:r>
            <w:proofErr w:type="gram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алмазу</w:t>
            </w:r>
            <w:proofErr w:type="gramEnd"/>
            <w:r w:rsidRPr="002F54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/</w:t>
            </w:r>
            <w:proofErr w:type="spellStart"/>
            <w:r w:rsidRPr="002F54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ZnSe</w:t>
            </w:r>
            <w:proofErr w:type="spellEnd"/>
            <w:r w:rsidRPr="002F5489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ru-RU"/>
              </w:rPr>
              <w:t>,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480-5500 см-1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германію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27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Тип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прижиму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ручний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фіксованим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зусиллям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що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запобігає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пошкодженню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кристалу</w:t>
            </w:r>
            <w:proofErr w:type="spellEnd"/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прижиму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ручний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фіксованим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змінним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зусиллям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запобігає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пошкодженню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кристалу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бажано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датчиком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тиску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27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Приставка для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швидкого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рідких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речовин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пробопідготовки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методом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пропускання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з кюветою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ZnSe</w:t>
            </w:r>
            <w:proofErr w:type="spellEnd"/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Нерозбірна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проточна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кювета 0,1 мм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стеклами з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BaF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₂ з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двома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роз'ємами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Luer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Lock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9D0" w:rsidRPr="00E41AF5" w:rsidTr="00791F1F">
        <w:trPr>
          <w:trHeight w:val="27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Спектральний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діапазон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приставки: не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вужче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500-20000 см-1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Спектральний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діапазон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приставки: не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вужче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7700-50000 см-1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A34354" w:rsidTr="00791F1F">
        <w:trPr>
          <w:trHeight w:val="27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Індекс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рефракції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віконця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при 1000 см-1: 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лише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2.4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Індекс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рефракції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віконця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 1000 см-1: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1,42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A34354" w:rsidTr="00791F1F">
        <w:trPr>
          <w:trHeight w:val="27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кювети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матеріал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зміщений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клиновидний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ZnSe</w:t>
            </w:r>
            <w:proofErr w:type="spellEnd"/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кювети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матеріал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BaF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₂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A34354" w:rsidTr="00791F1F">
        <w:trPr>
          <w:trHeight w:val="27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Товщина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шару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рідини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кюветі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100 мкм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A34354" w:rsidTr="00791F1F">
        <w:trPr>
          <w:trHeight w:val="27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val="ru-RU" w:eastAsia="uk-UA"/>
              </w:rPr>
              <w:t xml:space="preserve">Апертура в </w:t>
            </w:r>
            <w:proofErr w:type="spellStart"/>
            <w:r w:rsidRPr="002F548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val="ru-RU" w:eastAsia="uk-UA"/>
              </w:rPr>
              <w:t>кюветі</w:t>
            </w:r>
            <w:proofErr w:type="spellEnd"/>
            <w:r w:rsidRPr="002F5489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val="ru-RU" w:eastAsia="uk-UA"/>
              </w:rPr>
              <w:t>: 10 мм Ø</w:t>
            </w:r>
            <w:r w:rsidRPr="002F5489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val="ru-RU" w:eastAsia="uk-UA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Опційно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доступний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пакет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калібрувань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визначення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МЕЖК в дизельному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паливі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14078 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107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таблеток та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прямим методом без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комплектів</w:t>
            </w:r>
            <w:proofErr w:type="spellEnd"/>
          </w:p>
        </w:tc>
      </w:tr>
      <w:tr w:rsidR="009979D0" w:rsidRPr="003D7320" w:rsidTr="00791F1F">
        <w:trPr>
          <w:trHeight w:val="1989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включати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щонайменше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настільний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індикатором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тиску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-формами 7 мм – 1 шт.;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-форму для таблеток 7 мм – 1 шт.;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тримач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таблеток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запропонованої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шт.;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агатової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ступки та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товкачика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комплект;</w:t>
            </w:r>
          </w:p>
          <w:p w:rsidR="009979D0" w:rsidRPr="002F5489" w:rsidRDefault="009979D0" w:rsidP="009979D0">
            <w:pPr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спектрально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порошок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 г);</w:t>
            </w:r>
          </w:p>
          <w:p w:rsidR="009979D0" w:rsidRPr="002F5489" w:rsidRDefault="009979D0" w:rsidP="009979D0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запасних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кільця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таблеток 7 мм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2C0F7E" w:rsidTr="00791F1F">
        <w:trPr>
          <w:trHeight w:val="332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рідких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прямим методом без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комплектів</w:t>
            </w:r>
            <w:proofErr w:type="spellEnd"/>
          </w:p>
        </w:tc>
      </w:tr>
      <w:tr w:rsidR="009979D0" w:rsidRPr="002C0F7E" w:rsidTr="00791F1F">
        <w:trPr>
          <w:trHeight w:val="269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повинен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включати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щонайменше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корпус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розбірної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кювети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шт.;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прямокутні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віконця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рідинної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кювети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отворами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без) – 2 пари;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прямокутні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віконця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CaF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рідинної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кювети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отворами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без) – 2 пари;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віконця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емульсій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пари;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комплект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прямокутних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спейсерів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тефлону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шт.;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комплект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спейсерів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тефлону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шт.;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шприц 2 мл – 1 шт.;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мастило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Nujol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приготування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емульсій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 мл – 1 шт.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79D0" w:rsidRPr="003D7320" w:rsidTr="00791F1F">
        <w:trPr>
          <w:trHeight w:val="312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Стандарт для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перевірки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метрологічних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характеристик ІЧ-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Фур’є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спектрометру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Стандарти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метрологічних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характеристик ІЧ-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Фур’є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спектрометру,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бажано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щоб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був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вбудований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прилад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комплектів</w:t>
            </w:r>
            <w:proofErr w:type="spellEnd"/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Комплект повинен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включати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щонайменше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такі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складові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: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-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сертифікована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плівка</w:t>
            </w:r>
            <w:proofErr w:type="spellEnd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полістиролу</w:t>
            </w:r>
            <w:proofErr w:type="spellEnd"/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Комплект повинен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включати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щонайменше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такі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складові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герметизовану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кювету з метаном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плівка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полістиролу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Портативна переносна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станція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системою,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(ноутбук)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комплектів</w:t>
            </w:r>
            <w:proofErr w:type="spellEnd"/>
          </w:p>
        </w:tc>
      </w:tr>
      <w:tr w:rsidR="009979D0" w:rsidRPr="003D7320" w:rsidTr="00791F1F">
        <w:trPr>
          <w:trHeight w:val="1439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ind w:left="91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Конфігурація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гірше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: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ОС: Windows 10 Professional;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Екран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діагоналлю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більше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16’’;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Процесор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: ЦПУ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гірше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Intel Core i5-series;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ОЗУ не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менше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8 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GB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DDR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4;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SSD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менше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256ГБ;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ind w:left="91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Клавіатура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миша</w:t>
            </w:r>
            <w:proofErr w:type="spellEnd"/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ind w:left="9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Конфігурація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гірше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ОС: 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Windows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Professional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Екран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діагоналлю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16’’;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Процесор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ЦПУ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гірше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Intel Core i5-series;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ОЗУ не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8 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GB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DDR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4;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SSD</w:t>
            </w:r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256ГБ;</w:t>
            </w:r>
          </w:p>
          <w:p w:rsidR="009979D0" w:rsidRPr="002F5489" w:rsidRDefault="009979D0" w:rsidP="00705560">
            <w:pPr>
              <w:ind w:left="9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Клавіатура</w:t>
            </w:r>
            <w:proofErr w:type="spellEnd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миша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Програмне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набором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спектрів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комплектів</w:t>
            </w:r>
            <w:proofErr w:type="spellEnd"/>
          </w:p>
        </w:tc>
      </w:tr>
      <w:tr w:rsidR="009979D0" w:rsidRPr="003D7320" w:rsidTr="00791F1F">
        <w:trPr>
          <w:trHeight w:val="275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Середовище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роботи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: Лише у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середовищу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Windows</w:t>
            </w:r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10.</w:t>
            </w:r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Середовище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Лише у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середовищу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Windows</w:t>
            </w:r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Основні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режими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спектральний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фотометрія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кінетика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. В комплект входить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набір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спектральних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бібліотек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різних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класів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  <w:t>сполук</w:t>
            </w:r>
            <w:proofErr w:type="spellEnd"/>
          </w:p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режими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спектральний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фотометрія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В комплект входить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набір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спектральних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бібліотек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різних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сполук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8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Пост-обробка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Повинна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включати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набір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різноманітних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бібліотек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спектрів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можливості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створення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власних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бібліотек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спектрів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кількісне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визначення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побудовою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калібрувальних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графіків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базова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арифметична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обробка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спектрів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математичні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операції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диференціювання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логарифм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трансформації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в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тому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числі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Кубелки-Мунка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Крамерса-Кронінга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ATR-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корекції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ін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.),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автоматичний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пошук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піків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визначення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фотометричної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величини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заданій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спектральній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точці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тощо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Обов’язкова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функцій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режимом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картування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кількісних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вимірювань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методом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PLS,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математичне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розкладання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складних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смуг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компоненти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тощо</w:t>
            </w:r>
            <w:proofErr w:type="spellEnd"/>
            <w:r w:rsidRPr="002F548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.</w:t>
            </w:r>
          </w:p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Пост-обробка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Повинна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включати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набір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різноманітних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спектрів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власних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спектрів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кількісне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побудовою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калібрувальних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графіків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базова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арифметична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обробка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спектрів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операції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диференціювання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трансформації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тому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числі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Кубелки-Мунка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Крамерса-Кронінга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, ATR-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корекції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автоматичний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пошук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піків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фотометричної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заданій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спектральній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точці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тощо</w:t>
            </w:r>
            <w:proofErr w:type="spellEnd"/>
            <w:r w:rsidRPr="002F5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55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пусконалагоджувальних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персоналу</w:t>
            </w:r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995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учасником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Товару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надається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довідка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діючого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сервісного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центру на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запропонований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центру, номеру (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номерів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контактного телефону,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графіку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731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постачанні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Постачальник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свідоцтво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калібрування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вповноваженим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органом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54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постачанні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0" w:rsidRPr="003D7320" w:rsidTr="00791F1F">
        <w:trPr>
          <w:trHeight w:val="554"/>
          <w:jc w:val="center"/>
        </w:trPr>
        <w:tc>
          <w:tcPr>
            <w:tcW w:w="1312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1" w:type="dxa"/>
          </w:tcPr>
          <w:p w:rsidR="009979D0" w:rsidRPr="002F5489" w:rsidRDefault="009979D0" w:rsidP="007055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місяців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вводу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експлуатацію</w:t>
            </w:r>
            <w:proofErr w:type="spellEnd"/>
          </w:p>
        </w:tc>
        <w:tc>
          <w:tcPr>
            <w:tcW w:w="1843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8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27" w:type="dxa"/>
          </w:tcPr>
          <w:p w:rsidR="009979D0" w:rsidRPr="002F5489" w:rsidRDefault="009979D0" w:rsidP="00705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9D0" w:rsidRDefault="009979D0"/>
    <w:p w:rsidR="002F5489" w:rsidRPr="002F5489" w:rsidRDefault="002F5489" w:rsidP="002F5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60"/>
          <w:tab w:val="left" w:pos="919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2F5489">
        <w:rPr>
          <w:rFonts w:ascii="Times New Roman" w:hAnsi="Times New Roman" w:cs="Times New Roman"/>
          <w:b/>
          <w:i/>
          <w:sz w:val="24"/>
          <w:szCs w:val="24"/>
          <w:lang w:eastAsia="x-none"/>
        </w:rPr>
        <w:lastRenderedPageBreak/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2F5489" w:rsidRPr="002F5489" w:rsidRDefault="002F5489" w:rsidP="008C4E9D">
      <w:pPr>
        <w:tabs>
          <w:tab w:val="left" w:pos="8960"/>
          <w:tab w:val="left" w:pos="919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2F5489">
        <w:rPr>
          <w:rFonts w:ascii="Times New Roman" w:hAnsi="Times New Roman" w:cs="Times New Roman"/>
          <w:sz w:val="24"/>
          <w:szCs w:val="24"/>
        </w:rPr>
        <w:t xml:space="preserve"> </w:t>
      </w:r>
      <w:r w:rsidRPr="002F548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Вимоги до якості товару:</w:t>
      </w:r>
    </w:p>
    <w:p w:rsidR="002F5489" w:rsidRPr="002F5489" w:rsidRDefault="002F5489" w:rsidP="008C4E9D">
      <w:pPr>
        <w:tabs>
          <w:tab w:val="left" w:pos="8960"/>
          <w:tab w:val="left" w:pos="9192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 xml:space="preserve">1. Запропонований Учасником товар обов’язково повинен </w:t>
      </w:r>
      <w:r w:rsidRPr="002F5489">
        <w:rPr>
          <w:rFonts w:ascii="Times New Roman" w:hAnsi="Times New Roman" w:cs="Times New Roman"/>
          <w:b/>
          <w:sz w:val="24"/>
          <w:szCs w:val="24"/>
        </w:rPr>
        <w:t>відповідати</w:t>
      </w:r>
      <w:r w:rsidRPr="002F5489">
        <w:rPr>
          <w:rFonts w:ascii="Times New Roman" w:hAnsi="Times New Roman" w:cs="Times New Roman"/>
          <w:sz w:val="24"/>
          <w:szCs w:val="24"/>
        </w:rPr>
        <w:t xml:space="preserve"> (або бути </w:t>
      </w:r>
      <w:r w:rsidRPr="002F5489">
        <w:rPr>
          <w:rFonts w:ascii="Times New Roman" w:hAnsi="Times New Roman" w:cs="Times New Roman"/>
          <w:sz w:val="24"/>
          <w:szCs w:val="24"/>
        </w:rPr>
        <w:br/>
      </w:r>
      <w:r w:rsidRPr="002F54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не гірше) </w:t>
      </w:r>
      <w:r w:rsidRPr="002F5489">
        <w:rPr>
          <w:rFonts w:ascii="Times New Roman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2F5489">
        <w:rPr>
          <w:rFonts w:ascii="Times New Roman" w:hAnsi="Times New Roman" w:cs="Times New Roman"/>
          <w:spacing w:val="-4"/>
          <w:sz w:val="24"/>
          <w:szCs w:val="24"/>
        </w:rPr>
        <w:t>усім</w:t>
      </w:r>
      <w:r w:rsidRPr="002F5489">
        <w:rPr>
          <w:rFonts w:ascii="Times New Roman" w:hAnsi="Times New Roman" w:cs="Times New Roman"/>
          <w:spacing w:val="-4"/>
          <w:sz w:val="24"/>
          <w:szCs w:val="24"/>
          <w:lang w:eastAsia="x-none"/>
        </w:rPr>
        <w:t xml:space="preserve"> наведеним у</w:t>
      </w:r>
      <w:r w:rsidRPr="002F5489">
        <w:rPr>
          <w:rFonts w:ascii="Times New Roman" w:hAnsi="Times New Roman" w:cs="Times New Roman"/>
          <w:sz w:val="24"/>
          <w:szCs w:val="24"/>
        </w:rPr>
        <w:t xml:space="preserve"> Додатку 3 Тендерної документації</w:t>
      </w:r>
      <w:r w:rsidRPr="002F5489">
        <w:rPr>
          <w:rFonts w:ascii="Times New Roman" w:hAnsi="Times New Roman" w:cs="Times New Roman"/>
          <w:b/>
          <w:sz w:val="24"/>
          <w:szCs w:val="24"/>
        </w:rPr>
        <w:t xml:space="preserve"> технічним вимогам та характеристикам. </w:t>
      </w:r>
      <w:r w:rsidRPr="002F5489">
        <w:rPr>
          <w:rFonts w:ascii="Times New Roman" w:hAnsi="Times New Roman" w:cs="Times New Roman"/>
          <w:sz w:val="24"/>
          <w:szCs w:val="24"/>
        </w:rPr>
        <w:t xml:space="preserve">Учасник повинен підтвердити </w:t>
      </w:r>
      <w:r w:rsidRPr="002F5489">
        <w:rPr>
          <w:rFonts w:ascii="Times New Roman" w:hAnsi="Times New Roman" w:cs="Times New Roman"/>
          <w:b/>
          <w:sz w:val="24"/>
          <w:szCs w:val="24"/>
        </w:rPr>
        <w:t xml:space="preserve">відповідність </w:t>
      </w:r>
      <w:r w:rsidRPr="002F5489">
        <w:rPr>
          <w:rFonts w:ascii="Times New Roman" w:hAnsi="Times New Roman" w:cs="Times New Roman"/>
          <w:sz w:val="24"/>
          <w:szCs w:val="24"/>
        </w:rPr>
        <w:t xml:space="preserve">запропонованого ним товару </w:t>
      </w:r>
      <w:r w:rsidRPr="002F5489">
        <w:rPr>
          <w:rFonts w:ascii="Times New Roman" w:hAnsi="Times New Roman" w:cs="Times New Roman"/>
          <w:b/>
          <w:sz w:val="24"/>
          <w:szCs w:val="24"/>
        </w:rPr>
        <w:t>вказаним технічним вимогам,</w:t>
      </w:r>
      <w:r w:rsidRPr="002F5489">
        <w:rPr>
          <w:rFonts w:ascii="Times New Roman" w:hAnsi="Times New Roman" w:cs="Times New Roman"/>
          <w:sz w:val="24"/>
          <w:szCs w:val="24"/>
        </w:rPr>
        <w:t xml:space="preserve"> </w:t>
      </w:r>
      <w:r w:rsidRPr="002F5489">
        <w:rPr>
          <w:rFonts w:ascii="Times New Roman" w:hAnsi="Times New Roman" w:cs="Times New Roman"/>
          <w:b/>
          <w:sz w:val="24"/>
          <w:szCs w:val="24"/>
        </w:rPr>
        <w:t xml:space="preserve">характеристикам </w:t>
      </w:r>
      <w:r w:rsidRPr="002F5489">
        <w:rPr>
          <w:rFonts w:ascii="Times New Roman" w:hAnsi="Times New Roman" w:cs="Times New Roman"/>
          <w:sz w:val="24"/>
          <w:szCs w:val="24"/>
        </w:rPr>
        <w:t xml:space="preserve">щодо даного предмету закупівлі, шляхом надання інформації в довільній формі,  в повному обсязі, з </w:t>
      </w:r>
      <w:r w:rsidRPr="002F5489">
        <w:rPr>
          <w:rFonts w:ascii="Times New Roman" w:hAnsi="Times New Roman" w:cs="Times New Roman"/>
          <w:b/>
          <w:sz w:val="24"/>
          <w:szCs w:val="24"/>
        </w:rPr>
        <w:t>посиланням на відповідний пункт (сторінку)</w:t>
      </w:r>
      <w:r w:rsidRPr="002F5489">
        <w:rPr>
          <w:rFonts w:ascii="Times New Roman" w:hAnsi="Times New Roman" w:cs="Times New Roman"/>
          <w:sz w:val="24"/>
          <w:szCs w:val="24"/>
        </w:rPr>
        <w:t xml:space="preserve"> в інструкції з експлуатації, або в паспорті, або в технічному описі, або в іншій офіційній технічній документації виробника. Комплектація товару повинна бути підтверджена гарантійним листом учасника.</w:t>
      </w:r>
    </w:p>
    <w:p w:rsidR="002F5489" w:rsidRPr="002F5489" w:rsidRDefault="002F5489" w:rsidP="008C4E9D">
      <w:pPr>
        <w:tabs>
          <w:tab w:val="left" w:pos="8960"/>
          <w:tab w:val="left" w:pos="9192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F548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2. Товар повинен бути оригінальним та новим (випуску не раніше 2022 року) тобто таким, що раніше не використовувався </w:t>
      </w:r>
      <w:r w:rsidRPr="002F5489"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  <w:t>(підтверджується гарантійним листом учасника).</w:t>
      </w:r>
      <w:r w:rsidRPr="002F548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2F5489" w:rsidRPr="002F5489" w:rsidRDefault="002F5489" w:rsidP="008C4E9D">
      <w:pPr>
        <w:tabs>
          <w:tab w:val="left" w:pos="8960"/>
          <w:tab w:val="left" w:pos="9192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89">
        <w:rPr>
          <w:rFonts w:ascii="Times New Roman" w:hAnsi="Times New Roman" w:cs="Times New Roman"/>
          <w:b/>
          <w:sz w:val="24"/>
          <w:szCs w:val="24"/>
        </w:rPr>
        <w:t xml:space="preserve">2. Товар повинен бути оригінальним та новим (випуску не раніше 2023 року) тобто таким, що раніше не використовувався </w:t>
      </w:r>
      <w:r w:rsidRPr="002F5489">
        <w:rPr>
          <w:rFonts w:ascii="Times New Roman" w:hAnsi="Times New Roman" w:cs="Times New Roman"/>
          <w:b/>
          <w:i/>
          <w:sz w:val="24"/>
          <w:szCs w:val="24"/>
        </w:rPr>
        <w:t>(підтверджується гарантійним листом учасника).</w:t>
      </w:r>
    </w:p>
    <w:p w:rsidR="00C17063" w:rsidRDefault="002F5489" w:rsidP="008C4E9D">
      <w:pPr>
        <w:tabs>
          <w:tab w:val="left" w:pos="993"/>
          <w:tab w:val="left" w:pos="8960"/>
          <w:tab w:val="left" w:pos="9192"/>
        </w:tabs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2F5489">
        <w:rPr>
          <w:rFonts w:ascii="Times New Roman" w:eastAsia="SimSun" w:hAnsi="Times New Roman" w:cs="Times New Roman"/>
          <w:sz w:val="24"/>
          <w:szCs w:val="24"/>
        </w:rPr>
        <w:t>3. Товар, що пропонується учасником при його застосуванні не повинен зашкоджувати довкіллю при його використанні згідно вимог виробника обладнання. У випадку, якщо це неможливо, Учасник (відповідно ст. 22 Закону) повинен вказати необхідні заходи, які необхідно застосовувати для захисту довкілля.</w:t>
      </w:r>
      <w:r w:rsidRPr="002F5489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(підтверджується гарантійним листом учасника).</w:t>
      </w:r>
    </w:p>
    <w:p w:rsidR="00B56F80" w:rsidRPr="008C4E9D" w:rsidRDefault="00C17063" w:rsidP="00C17063">
      <w:pPr>
        <w:tabs>
          <w:tab w:val="left" w:pos="993"/>
          <w:tab w:val="left" w:pos="8960"/>
          <w:tab w:val="left" w:pos="9192"/>
        </w:tabs>
        <w:adjustRightInd w:val="0"/>
        <w:spacing w:after="0" w:line="240" w:lineRule="auto"/>
        <w:ind w:right="44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C4E9D">
        <w:rPr>
          <w:rFonts w:ascii="Times New Roman" w:eastAsia="SimSun" w:hAnsi="Times New Roman" w:cs="Times New Roman"/>
          <w:sz w:val="24"/>
          <w:szCs w:val="24"/>
        </w:rPr>
        <w:t xml:space="preserve">4. </w:t>
      </w:r>
      <w:r w:rsidR="002F5489" w:rsidRPr="008C4E9D">
        <w:rPr>
          <w:rFonts w:ascii="Times New Roman" w:hAnsi="Times New Roman" w:cs="Times New Roman"/>
          <w:sz w:val="24"/>
          <w:szCs w:val="24"/>
        </w:rPr>
        <w:t xml:space="preserve">Місце поставки товару: </w:t>
      </w:r>
    </w:p>
    <w:p w:rsidR="00B56F80" w:rsidRPr="008C4E9D" w:rsidRDefault="002F5489" w:rsidP="00C17063">
      <w:pPr>
        <w:tabs>
          <w:tab w:val="left" w:pos="8960"/>
          <w:tab w:val="left" w:pos="9192"/>
        </w:tabs>
        <w:spacing w:after="0" w:line="240" w:lineRule="auto"/>
        <w:ind w:right="448"/>
        <w:jc w:val="both"/>
        <w:rPr>
          <w:rFonts w:ascii="Times New Roman" w:hAnsi="Times New Roman" w:cs="Times New Roman"/>
          <w:sz w:val="24"/>
          <w:szCs w:val="24"/>
        </w:rPr>
      </w:pPr>
      <w:r w:rsidRPr="008C4E9D">
        <w:rPr>
          <w:rFonts w:ascii="Times New Roman" w:hAnsi="Times New Roman" w:cs="Times New Roman"/>
          <w:sz w:val="24"/>
          <w:szCs w:val="24"/>
          <w:lang w:eastAsia="ru-RU"/>
        </w:rPr>
        <w:t xml:space="preserve">- м. Київ, проспект Степана Бандери, 8, корпус 8;   </w:t>
      </w:r>
      <w:r w:rsidRPr="008C4E9D">
        <w:rPr>
          <w:rFonts w:ascii="Times New Roman" w:hAnsi="Times New Roman" w:cs="Times New Roman"/>
          <w:sz w:val="24"/>
          <w:szCs w:val="24"/>
        </w:rPr>
        <w:t xml:space="preserve">Кількість – 1 комплект. </w:t>
      </w:r>
    </w:p>
    <w:p w:rsidR="00B56F80" w:rsidRPr="008C4E9D" w:rsidRDefault="002F5489" w:rsidP="00C17063">
      <w:pPr>
        <w:tabs>
          <w:tab w:val="left" w:pos="8960"/>
          <w:tab w:val="left" w:pos="9192"/>
        </w:tabs>
        <w:spacing w:after="0" w:line="240" w:lineRule="auto"/>
        <w:ind w:right="448"/>
        <w:jc w:val="both"/>
        <w:rPr>
          <w:rFonts w:ascii="Times New Roman" w:hAnsi="Times New Roman" w:cs="Times New Roman"/>
          <w:sz w:val="24"/>
          <w:szCs w:val="24"/>
        </w:rPr>
      </w:pPr>
      <w:r w:rsidRPr="008C4E9D">
        <w:rPr>
          <w:rFonts w:ascii="Times New Roman" w:hAnsi="Times New Roman" w:cs="Times New Roman"/>
          <w:sz w:val="24"/>
          <w:szCs w:val="24"/>
          <w:lang w:eastAsia="ru-RU"/>
        </w:rPr>
        <w:t xml:space="preserve">- м. Дніпро, </w:t>
      </w:r>
      <w:r w:rsidRPr="008C4E9D">
        <w:rPr>
          <w:rFonts w:ascii="Times New Roman" w:hAnsi="Times New Roman" w:cs="Times New Roman"/>
          <w:sz w:val="24"/>
          <w:szCs w:val="24"/>
        </w:rPr>
        <w:t xml:space="preserve">вул. Княгині Ольги, 22; Кількість – 1 комплект.  </w:t>
      </w:r>
    </w:p>
    <w:p w:rsidR="00B56F80" w:rsidRPr="008C4E9D" w:rsidRDefault="002F5489" w:rsidP="00C17063">
      <w:pPr>
        <w:tabs>
          <w:tab w:val="left" w:pos="8960"/>
          <w:tab w:val="left" w:pos="9192"/>
        </w:tabs>
        <w:spacing w:after="0" w:line="240" w:lineRule="auto"/>
        <w:ind w:right="448"/>
        <w:jc w:val="both"/>
        <w:rPr>
          <w:rFonts w:ascii="Times New Roman" w:hAnsi="Times New Roman" w:cs="Times New Roman"/>
          <w:sz w:val="24"/>
          <w:szCs w:val="24"/>
        </w:rPr>
      </w:pPr>
      <w:r w:rsidRPr="008C4E9D">
        <w:rPr>
          <w:rFonts w:ascii="Times New Roman" w:hAnsi="Times New Roman" w:cs="Times New Roman"/>
          <w:sz w:val="24"/>
          <w:szCs w:val="24"/>
          <w:lang w:eastAsia="ru-RU"/>
        </w:rPr>
        <w:t xml:space="preserve">- м. Одеса, </w:t>
      </w:r>
      <w:r w:rsidRPr="008C4E9D">
        <w:rPr>
          <w:rFonts w:ascii="Times New Roman" w:hAnsi="Times New Roman" w:cs="Times New Roman"/>
          <w:sz w:val="24"/>
          <w:szCs w:val="24"/>
        </w:rPr>
        <w:t>:</w:t>
      </w:r>
      <w:r w:rsidRPr="008C4E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4E9D">
        <w:rPr>
          <w:rFonts w:ascii="Times New Roman" w:hAnsi="Times New Roman" w:cs="Times New Roman"/>
          <w:sz w:val="24"/>
          <w:szCs w:val="24"/>
        </w:rPr>
        <w:t>вул. Івана і Юрія Лип, буд. 21-А</w:t>
      </w:r>
      <w:r w:rsidRPr="008C4E9D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  <w:r w:rsidRPr="008C4E9D">
        <w:rPr>
          <w:rFonts w:ascii="Times New Roman" w:hAnsi="Times New Roman" w:cs="Times New Roman"/>
          <w:sz w:val="24"/>
          <w:szCs w:val="24"/>
        </w:rPr>
        <w:t xml:space="preserve">Кількість – 1 комплект. </w:t>
      </w:r>
    </w:p>
    <w:p w:rsidR="00B56F80" w:rsidRPr="008C4E9D" w:rsidRDefault="002F5489" w:rsidP="00C17063">
      <w:pPr>
        <w:tabs>
          <w:tab w:val="left" w:pos="8960"/>
          <w:tab w:val="left" w:pos="9192"/>
        </w:tabs>
        <w:spacing w:after="0" w:line="240" w:lineRule="auto"/>
        <w:ind w:right="448"/>
        <w:jc w:val="both"/>
        <w:rPr>
          <w:rFonts w:ascii="Times New Roman" w:hAnsi="Times New Roman" w:cs="Times New Roman"/>
          <w:sz w:val="24"/>
          <w:szCs w:val="24"/>
        </w:rPr>
      </w:pPr>
      <w:r w:rsidRPr="008C4E9D">
        <w:rPr>
          <w:rFonts w:ascii="Times New Roman" w:hAnsi="Times New Roman" w:cs="Times New Roman"/>
          <w:sz w:val="24"/>
          <w:szCs w:val="24"/>
        </w:rPr>
        <w:t xml:space="preserve">- </w:t>
      </w:r>
      <w:r w:rsidRPr="008C4E9D">
        <w:rPr>
          <w:rFonts w:ascii="Times New Roman" w:hAnsi="Times New Roman" w:cs="Times New Roman"/>
          <w:bCs/>
          <w:sz w:val="24"/>
          <w:szCs w:val="24"/>
        </w:rPr>
        <w:t xml:space="preserve">м. </w:t>
      </w:r>
      <w:r w:rsidRPr="008C4E9D">
        <w:rPr>
          <w:rFonts w:ascii="Times New Roman" w:hAnsi="Times New Roman" w:cs="Times New Roman"/>
          <w:sz w:val="24"/>
          <w:szCs w:val="24"/>
        </w:rPr>
        <w:t xml:space="preserve">Ужгород, вул. </w:t>
      </w:r>
      <w:proofErr w:type="spellStart"/>
      <w:r w:rsidRPr="008C4E9D">
        <w:rPr>
          <w:rFonts w:ascii="Times New Roman" w:hAnsi="Times New Roman" w:cs="Times New Roman"/>
          <w:sz w:val="24"/>
          <w:szCs w:val="24"/>
        </w:rPr>
        <w:t>Собранецька</w:t>
      </w:r>
      <w:proofErr w:type="spellEnd"/>
      <w:r w:rsidRPr="008C4E9D">
        <w:rPr>
          <w:rFonts w:ascii="Times New Roman" w:hAnsi="Times New Roman" w:cs="Times New Roman"/>
          <w:sz w:val="24"/>
          <w:szCs w:val="24"/>
        </w:rPr>
        <w:t>, буд. 201</w:t>
      </w:r>
      <w:r w:rsidR="007D3EE4">
        <w:rPr>
          <w:rFonts w:ascii="Times New Roman" w:hAnsi="Times New Roman" w:cs="Times New Roman"/>
          <w:sz w:val="24"/>
          <w:szCs w:val="24"/>
        </w:rPr>
        <w:t>;</w:t>
      </w:r>
      <w:r w:rsidRPr="008C4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E9D">
        <w:rPr>
          <w:rFonts w:ascii="Times New Roman" w:hAnsi="Times New Roman" w:cs="Times New Roman"/>
          <w:sz w:val="24"/>
          <w:szCs w:val="24"/>
        </w:rPr>
        <w:t xml:space="preserve">Кількість – 1 комплект. </w:t>
      </w:r>
    </w:p>
    <w:p w:rsidR="00B56F80" w:rsidRPr="008C4E9D" w:rsidRDefault="002F5489" w:rsidP="00C17063">
      <w:pPr>
        <w:tabs>
          <w:tab w:val="left" w:pos="8960"/>
          <w:tab w:val="left" w:pos="9192"/>
        </w:tabs>
        <w:spacing w:after="0" w:line="240" w:lineRule="auto"/>
        <w:ind w:right="448"/>
        <w:jc w:val="both"/>
        <w:rPr>
          <w:rFonts w:ascii="Times New Roman" w:hAnsi="Times New Roman" w:cs="Times New Roman"/>
          <w:sz w:val="24"/>
          <w:szCs w:val="24"/>
        </w:rPr>
      </w:pPr>
      <w:r w:rsidRPr="008C4E9D">
        <w:rPr>
          <w:rFonts w:ascii="Times New Roman" w:hAnsi="Times New Roman" w:cs="Times New Roman"/>
          <w:sz w:val="24"/>
          <w:szCs w:val="24"/>
        </w:rPr>
        <w:t xml:space="preserve">- </w:t>
      </w:r>
      <w:r w:rsidRPr="008C4E9D">
        <w:rPr>
          <w:rFonts w:ascii="Times New Roman" w:hAnsi="Times New Roman" w:cs="Times New Roman"/>
          <w:bCs/>
          <w:sz w:val="24"/>
          <w:szCs w:val="24"/>
        </w:rPr>
        <w:t xml:space="preserve">м. Львів, вул. Городоцька, буд. 369; </w:t>
      </w:r>
      <w:r w:rsidRPr="008C4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4E9D">
        <w:rPr>
          <w:rFonts w:ascii="Times New Roman" w:hAnsi="Times New Roman" w:cs="Times New Roman"/>
          <w:sz w:val="24"/>
          <w:szCs w:val="24"/>
        </w:rPr>
        <w:t>Кількість – 1 комплект.</w:t>
      </w:r>
    </w:p>
    <w:p w:rsidR="002F5489" w:rsidRPr="008C4E9D" w:rsidRDefault="002F5489" w:rsidP="00C17063">
      <w:pPr>
        <w:tabs>
          <w:tab w:val="left" w:pos="8960"/>
          <w:tab w:val="left" w:pos="9192"/>
        </w:tabs>
        <w:spacing w:after="0" w:line="240" w:lineRule="auto"/>
        <w:ind w:right="4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E9D">
        <w:rPr>
          <w:rFonts w:ascii="Times New Roman" w:hAnsi="Times New Roman" w:cs="Times New Roman"/>
          <w:sz w:val="24"/>
          <w:szCs w:val="24"/>
        </w:rPr>
        <w:t xml:space="preserve">- </w:t>
      </w:r>
      <w:r w:rsidRPr="008C4E9D">
        <w:rPr>
          <w:rFonts w:ascii="Times New Roman" w:hAnsi="Times New Roman" w:cs="Times New Roman"/>
          <w:bCs/>
          <w:sz w:val="24"/>
          <w:szCs w:val="24"/>
        </w:rPr>
        <w:t xml:space="preserve">м. Харків, вул. </w:t>
      </w:r>
      <w:proofErr w:type="spellStart"/>
      <w:r w:rsidRPr="008C4E9D">
        <w:rPr>
          <w:rFonts w:ascii="Times New Roman" w:hAnsi="Times New Roman" w:cs="Times New Roman"/>
          <w:bCs/>
          <w:sz w:val="24"/>
          <w:szCs w:val="24"/>
        </w:rPr>
        <w:t>Бакуліна</w:t>
      </w:r>
      <w:proofErr w:type="spellEnd"/>
      <w:r w:rsidRPr="008C4E9D">
        <w:rPr>
          <w:rFonts w:ascii="Times New Roman" w:hAnsi="Times New Roman" w:cs="Times New Roman"/>
          <w:bCs/>
          <w:sz w:val="24"/>
          <w:szCs w:val="24"/>
        </w:rPr>
        <w:t xml:space="preserve">, буд. 6; </w:t>
      </w:r>
      <w:r w:rsidRPr="008C4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4E9D">
        <w:rPr>
          <w:rFonts w:ascii="Times New Roman" w:hAnsi="Times New Roman" w:cs="Times New Roman"/>
          <w:sz w:val="24"/>
          <w:szCs w:val="24"/>
        </w:rPr>
        <w:t>Кількість – 1 комплект.</w:t>
      </w:r>
    </w:p>
    <w:sectPr w:rsidR="002F5489" w:rsidRPr="008C4E9D" w:rsidSect="00DD39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3E6"/>
    <w:multiLevelType w:val="hybridMultilevel"/>
    <w:tmpl w:val="BBA06248"/>
    <w:lvl w:ilvl="0" w:tplc="BCD241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21C6316">
      <w:numFmt w:val="bullet"/>
      <w:lvlText w:val="•"/>
      <w:lvlJc w:val="left"/>
      <w:pPr>
        <w:ind w:left="726" w:hanging="140"/>
      </w:pPr>
      <w:rPr>
        <w:rFonts w:hint="default"/>
        <w:lang w:val="uk-UA" w:eastAsia="en-US" w:bidi="ar-SA"/>
      </w:rPr>
    </w:lvl>
    <w:lvl w:ilvl="2" w:tplc="A186151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3" w:tplc="9418E6FC">
      <w:numFmt w:val="bullet"/>
      <w:lvlText w:val="•"/>
      <w:lvlJc w:val="left"/>
      <w:pPr>
        <w:ind w:left="1979" w:hanging="140"/>
      </w:pPr>
      <w:rPr>
        <w:rFonts w:hint="default"/>
        <w:lang w:val="uk-UA" w:eastAsia="en-US" w:bidi="ar-SA"/>
      </w:rPr>
    </w:lvl>
    <w:lvl w:ilvl="4" w:tplc="EB3C173C">
      <w:numFmt w:val="bullet"/>
      <w:lvlText w:val="•"/>
      <w:lvlJc w:val="left"/>
      <w:pPr>
        <w:ind w:left="2606" w:hanging="140"/>
      </w:pPr>
      <w:rPr>
        <w:rFonts w:hint="default"/>
        <w:lang w:val="uk-UA" w:eastAsia="en-US" w:bidi="ar-SA"/>
      </w:rPr>
    </w:lvl>
    <w:lvl w:ilvl="5" w:tplc="B5307E3C">
      <w:numFmt w:val="bullet"/>
      <w:lvlText w:val="•"/>
      <w:lvlJc w:val="left"/>
      <w:pPr>
        <w:ind w:left="3232" w:hanging="140"/>
      </w:pPr>
      <w:rPr>
        <w:rFonts w:hint="default"/>
        <w:lang w:val="uk-UA" w:eastAsia="en-US" w:bidi="ar-SA"/>
      </w:rPr>
    </w:lvl>
    <w:lvl w:ilvl="6" w:tplc="4CE8B734">
      <w:numFmt w:val="bullet"/>
      <w:lvlText w:val="•"/>
      <w:lvlJc w:val="left"/>
      <w:pPr>
        <w:ind w:left="3859" w:hanging="140"/>
      </w:pPr>
      <w:rPr>
        <w:rFonts w:hint="default"/>
        <w:lang w:val="uk-UA" w:eastAsia="en-US" w:bidi="ar-SA"/>
      </w:rPr>
    </w:lvl>
    <w:lvl w:ilvl="7" w:tplc="E940C88C">
      <w:numFmt w:val="bullet"/>
      <w:lvlText w:val="•"/>
      <w:lvlJc w:val="left"/>
      <w:pPr>
        <w:ind w:left="4485" w:hanging="140"/>
      </w:pPr>
      <w:rPr>
        <w:rFonts w:hint="default"/>
        <w:lang w:val="uk-UA" w:eastAsia="en-US" w:bidi="ar-SA"/>
      </w:rPr>
    </w:lvl>
    <w:lvl w:ilvl="8" w:tplc="55F4CFA8">
      <w:numFmt w:val="bullet"/>
      <w:lvlText w:val="•"/>
      <w:lvlJc w:val="left"/>
      <w:pPr>
        <w:ind w:left="5112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166A1324"/>
    <w:multiLevelType w:val="hybridMultilevel"/>
    <w:tmpl w:val="05829848"/>
    <w:lvl w:ilvl="0" w:tplc="32B479B4">
      <w:numFmt w:val="bullet"/>
      <w:lvlText w:val="•"/>
      <w:lvlJc w:val="left"/>
      <w:pPr>
        <w:ind w:left="142" w:hanging="142"/>
      </w:pPr>
      <w:rPr>
        <w:rFonts w:hint="default"/>
        <w:w w:val="99"/>
        <w:sz w:val="24"/>
        <w:szCs w:val="24"/>
        <w:lang w:val="uk-UA" w:eastAsia="en-US" w:bidi="ar-SA"/>
      </w:rPr>
    </w:lvl>
    <w:lvl w:ilvl="1" w:tplc="015EA9C4">
      <w:numFmt w:val="bullet"/>
      <w:lvlText w:val="•"/>
      <w:lvlJc w:val="left"/>
      <w:pPr>
        <w:ind w:left="760" w:hanging="142"/>
      </w:pPr>
      <w:rPr>
        <w:rFonts w:hint="default"/>
        <w:lang w:val="uk-UA" w:eastAsia="en-US" w:bidi="ar-SA"/>
      </w:rPr>
    </w:lvl>
    <w:lvl w:ilvl="2" w:tplc="4DA8B7F6">
      <w:numFmt w:val="bullet"/>
      <w:lvlText w:val="•"/>
      <w:lvlJc w:val="left"/>
      <w:pPr>
        <w:ind w:left="1387" w:hanging="142"/>
      </w:pPr>
      <w:rPr>
        <w:rFonts w:hint="default"/>
        <w:lang w:val="uk-UA" w:eastAsia="en-US" w:bidi="ar-SA"/>
      </w:rPr>
    </w:lvl>
    <w:lvl w:ilvl="3" w:tplc="FD8807F2">
      <w:numFmt w:val="bullet"/>
      <w:lvlText w:val="•"/>
      <w:lvlJc w:val="left"/>
      <w:pPr>
        <w:ind w:left="2013" w:hanging="142"/>
      </w:pPr>
      <w:rPr>
        <w:rFonts w:hint="default"/>
        <w:lang w:val="uk-UA" w:eastAsia="en-US" w:bidi="ar-SA"/>
      </w:rPr>
    </w:lvl>
    <w:lvl w:ilvl="4" w:tplc="26E6B4E4">
      <w:numFmt w:val="bullet"/>
      <w:lvlText w:val="•"/>
      <w:lvlJc w:val="left"/>
      <w:pPr>
        <w:ind w:left="2640" w:hanging="142"/>
      </w:pPr>
      <w:rPr>
        <w:rFonts w:hint="default"/>
        <w:lang w:val="uk-UA" w:eastAsia="en-US" w:bidi="ar-SA"/>
      </w:rPr>
    </w:lvl>
    <w:lvl w:ilvl="5" w:tplc="0C8EEBB4">
      <w:numFmt w:val="bullet"/>
      <w:lvlText w:val="•"/>
      <w:lvlJc w:val="left"/>
      <w:pPr>
        <w:ind w:left="3266" w:hanging="142"/>
      </w:pPr>
      <w:rPr>
        <w:rFonts w:hint="default"/>
        <w:lang w:val="uk-UA" w:eastAsia="en-US" w:bidi="ar-SA"/>
      </w:rPr>
    </w:lvl>
    <w:lvl w:ilvl="6" w:tplc="F0DE3AF2">
      <w:numFmt w:val="bullet"/>
      <w:lvlText w:val="•"/>
      <w:lvlJc w:val="left"/>
      <w:pPr>
        <w:ind w:left="3893" w:hanging="142"/>
      </w:pPr>
      <w:rPr>
        <w:rFonts w:hint="default"/>
        <w:lang w:val="uk-UA" w:eastAsia="en-US" w:bidi="ar-SA"/>
      </w:rPr>
    </w:lvl>
    <w:lvl w:ilvl="7" w:tplc="A9A6EE8C">
      <w:numFmt w:val="bullet"/>
      <w:lvlText w:val="•"/>
      <w:lvlJc w:val="left"/>
      <w:pPr>
        <w:ind w:left="4519" w:hanging="142"/>
      </w:pPr>
      <w:rPr>
        <w:rFonts w:hint="default"/>
        <w:lang w:val="uk-UA" w:eastAsia="en-US" w:bidi="ar-SA"/>
      </w:rPr>
    </w:lvl>
    <w:lvl w:ilvl="8" w:tplc="F93AC8F8">
      <w:numFmt w:val="bullet"/>
      <w:lvlText w:val="•"/>
      <w:lvlJc w:val="left"/>
      <w:pPr>
        <w:ind w:left="5146" w:hanging="14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D0"/>
    <w:rsid w:val="00126C58"/>
    <w:rsid w:val="001C7EC3"/>
    <w:rsid w:val="002F5489"/>
    <w:rsid w:val="003A123A"/>
    <w:rsid w:val="004360CB"/>
    <w:rsid w:val="004A266D"/>
    <w:rsid w:val="00791F1F"/>
    <w:rsid w:val="007D3EE4"/>
    <w:rsid w:val="008C4E9D"/>
    <w:rsid w:val="009979D0"/>
    <w:rsid w:val="00A42CBC"/>
    <w:rsid w:val="00AD7EA2"/>
    <w:rsid w:val="00B56F80"/>
    <w:rsid w:val="00C17063"/>
    <w:rsid w:val="00CA4BD0"/>
    <w:rsid w:val="00D376F6"/>
    <w:rsid w:val="00D55DF6"/>
    <w:rsid w:val="00D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590349"/>
  <w15:chartTrackingRefBased/>
  <w15:docId w15:val="{899952E6-6B22-46D6-AB8A-1AC178A7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9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7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79D0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F548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11">
    <w:name w:val="Заголовок 11"/>
    <w:basedOn w:val="a"/>
    <w:uiPriority w:val="1"/>
    <w:qFormat/>
    <w:rsid w:val="00126C58"/>
    <w:pPr>
      <w:widowControl w:val="0"/>
      <w:autoSpaceDE w:val="0"/>
      <w:autoSpaceDN w:val="0"/>
      <w:spacing w:after="0" w:line="240" w:lineRule="auto"/>
      <w:ind w:left="207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7941</Words>
  <Characters>4527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МАЛАШЕНКО</dc:creator>
  <cp:keywords/>
  <dc:description/>
  <cp:lastModifiedBy>Анна МАЛАШЕНКО</cp:lastModifiedBy>
  <cp:revision>4</cp:revision>
  <cp:lastPrinted>2023-11-22T13:20:00Z</cp:lastPrinted>
  <dcterms:created xsi:type="dcterms:W3CDTF">2023-11-22T12:19:00Z</dcterms:created>
  <dcterms:modified xsi:type="dcterms:W3CDTF">2023-11-22T13:24:00Z</dcterms:modified>
</cp:coreProperties>
</file>