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F90C95" w:rsidRDefault="00612423" w:rsidP="00310A44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6,24</w:t>
            </w:r>
            <w:r w:rsidR="00C04C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тис.</w:t>
            </w:r>
            <w:r w:rsidR="00542689" w:rsidRPr="007C06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куб.</w:t>
            </w:r>
          </w:p>
        </w:tc>
      </w:tr>
      <w:tr w:rsidR="005C242E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2E" w:rsidRPr="00064D69" w:rsidRDefault="005C242E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42E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2E" w:rsidRPr="007A6160" w:rsidRDefault="00612423" w:rsidP="0061242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Київська обл., Бориспільський район, </w:t>
            </w:r>
            <w:bookmarkStart w:id="0" w:name="_GoBack"/>
            <w:bookmarkEnd w:id="0"/>
            <w:r w:rsidR="00B42D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="007A61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Переяслав</w:t>
            </w:r>
            <w:r w:rsidR="00124E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Шевченка, 8, </w:t>
            </w:r>
            <w:r w:rsidR="00124E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Літописна, 61</w:t>
            </w:r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рт.ст.)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CE" w:rsidRDefault="005D3ACE" w:rsidP="00144350">
      <w:pPr>
        <w:spacing w:after="0" w:line="240" w:lineRule="auto"/>
      </w:pPr>
      <w:r>
        <w:separator/>
      </w:r>
    </w:p>
  </w:endnote>
  <w:endnote w:type="continuationSeparator" w:id="0">
    <w:p w:rsidR="005D3ACE" w:rsidRDefault="005D3ACE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CE" w:rsidRDefault="005D3ACE" w:rsidP="00144350">
      <w:pPr>
        <w:spacing w:after="0" w:line="240" w:lineRule="auto"/>
      </w:pPr>
      <w:r>
        <w:separator/>
      </w:r>
    </w:p>
  </w:footnote>
  <w:footnote w:type="continuationSeparator" w:id="0">
    <w:p w:rsidR="005D3ACE" w:rsidRDefault="005D3ACE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 w15:restartNumberingAfterBreak="0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2B2B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4EBD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B237A"/>
    <w:rsid w:val="002D6C7E"/>
    <w:rsid w:val="002E6361"/>
    <w:rsid w:val="00303455"/>
    <w:rsid w:val="00310A44"/>
    <w:rsid w:val="003123F1"/>
    <w:rsid w:val="00326498"/>
    <w:rsid w:val="00335439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242E"/>
    <w:rsid w:val="005C4B8E"/>
    <w:rsid w:val="005C7C14"/>
    <w:rsid w:val="005D129D"/>
    <w:rsid w:val="005D3ACE"/>
    <w:rsid w:val="005D3DF1"/>
    <w:rsid w:val="005E727D"/>
    <w:rsid w:val="005E72FC"/>
    <w:rsid w:val="005F15CB"/>
    <w:rsid w:val="005F205F"/>
    <w:rsid w:val="005F3AC7"/>
    <w:rsid w:val="00612423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A6160"/>
    <w:rsid w:val="007B2AAA"/>
    <w:rsid w:val="007C06EC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42D3D"/>
    <w:rsid w:val="00B96914"/>
    <w:rsid w:val="00BA56B4"/>
    <w:rsid w:val="00BB129C"/>
    <w:rsid w:val="00BB5E06"/>
    <w:rsid w:val="00BC402C"/>
    <w:rsid w:val="00BD5B52"/>
    <w:rsid w:val="00BF2639"/>
    <w:rsid w:val="00BF4A7F"/>
    <w:rsid w:val="00C04CB0"/>
    <w:rsid w:val="00C0599A"/>
    <w:rsid w:val="00C12982"/>
    <w:rsid w:val="00C155E6"/>
    <w:rsid w:val="00C2060B"/>
    <w:rsid w:val="00C22077"/>
    <w:rsid w:val="00C2288F"/>
    <w:rsid w:val="00C237E2"/>
    <w:rsid w:val="00C253C6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5622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0C95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E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  <w:lang w:val="uk-UA" w:eastAsia="uk-UA"/>
    </w:rPr>
  </w:style>
  <w:style w:type="paragraph" w:styleId="a6">
    <w:name w:val="Title"/>
    <w:basedOn w:val="a"/>
    <w:next w:val="a"/>
    <w:link w:val="a9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a9">
    <w:name w:val="Заголовок Знак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a">
    <w:name w:val="Table Grid"/>
    <w:basedOn w:val="a1"/>
    <w:uiPriority w:val="99"/>
    <w:rsid w:val="005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писок уровня 2"/>
    <w:basedOn w:val="a"/>
    <w:link w:val="ac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c">
    <w:name w:val="Абзац списка Знак"/>
    <w:aliases w:val="Список уровня 2 Знак"/>
    <w:link w:val="ab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f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0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2">
    <w:name w:val="footer"/>
    <w:basedOn w:val="a"/>
    <w:link w:val="af3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2023-09-12T11:22:00Z</dcterms:modified>
</cp:coreProperties>
</file>