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sidR="00D6211C">
        <w:rPr>
          <w:rFonts w:ascii="Times New Roman" w:eastAsia="Times New Roman" w:hAnsi="Times New Roman" w:cs="Times New Roman"/>
          <w:b/>
          <w:sz w:val="24"/>
          <w:szCs w:val="24"/>
        </w:rPr>
        <w:t>4</w:t>
      </w:r>
    </w:p>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rsidR="00113CA6" w:rsidRDefault="00113CA6">
      <w:pPr>
        <w:pStyle w:val="normal1"/>
        <w:spacing w:after="0" w:line="240" w:lineRule="auto"/>
        <w:rPr>
          <w:rFonts w:ascii="Times New Roman" w:eastAsia="Times New Roman" w:hAnsi="Times New Roman" w:cs="Times New Roman"/>
          <w:b/>
          <w:color w:val="000000"/>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w:t>
      </w:r>
      <w:r w:rsidR="0069224A">
        <w:rPr>
          <w:rFonts w:ascii="Times New Roman" w:eastAsia="Times New Roman" w:hAnsi="Times New Roman" w:cs="Times New Roman"/>
          <w:sz w:val="24"/>
          <w:szCs w:val="24"/>
        </w:rPr>
        <w:t xml:space="preserve">          </w:t>
      </w:r>
      <w:r w:rsidR="006D0D3A">
        <w:rPr>
          <w:rFonts w:ascii="Times New Roman" w:eastAsia="Times New Roman" w:hAnsi="Times New Roman" w:cs="Times New Roman"/>
          <w:sz w:val="24"/>
          <w:szCs w:val="24"/>
        </w:rPr>
        <w:t xml:space="preserve">     «____» ____________ 202</w:t>
      </w:r>
      <w:r w:rsidR="0009720A">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trPr>
          <w:cantSplit/>
          <w:trHeight w:val="52"/>
        </w:trPr>
        <w:tc>
          <w:tcPr>
            <w:tcW w:w="10152" w:type="dxa"/>
          </w:tcPr>
          <w:p w:rsidR="00113CA6" w:rsidRDefault="006D0D3A" w:rsidP="007F4FD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Платежі і розрахунки з </w:t>
      </w:r>
      <w:r w:rsidR="002D7106">
        <w:rPr>
          <w:rFonts w:ascii="Times New Roman" w:eastAsia="Times New Roman" w:hAnsi="Times New Roman" w:cs="Times New Roman"/>
          <w:sz w:val="24"/>
          <w:szCs w:val="24"/>
        </w:rPr>
        <w:t>«</w:t>
      </w:r>
      <w:r>
        <w:rPr>
          <w:rFonts w:ascii="Times New Roman" w:eastAsia="Times New Roman" w:hAnsi="Times New Roman" w:cs="Times New Roman"/>
          <w:sz w:val="24"/>
          <w:szCs w:val="24"/>
        </w:rPr>
        <w:t>Виконавцем</w:t>
      </w:r>
      <w:r w:rsidR="002D7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здійснюються по мірі надходження коштів на рахунок </w:t>
      </w:r>
      <w:r w:rsidR="00BD629D">
        <w:rPr>
          <w:rFonts w:ascii="Times New Roman" w:eastAsia="Times New Roman" w:hAnsi="Times New Roman" w:cs="Times New Roman"/>
          <w:sz w:val="24"/>
          <w:szCs w:val="24"/>
        </w:rPr>
        <w:t>«</w:t>
      </w:r>
      <w:r>
        <w:rPr>
          <w:rFonts w:ascii="Times New Roman" w:eastAsia="Times New Roman" w:hAnsi="Times New Roman" w:cs="Times New Roman"/>
          <w:sz w:val="24"/>
          <w:szCs w:val="24"/>
        </w:rPr>
        <w:t>Замовника</w:t>
      </w:r>
      <w:r w:rsidR="00BD62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3.2. Оплата за цим Договором виконується «Замовником» на підставі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прийому виконаних послуг/робіт та документів про обсяги виконаних послуг/робіт та їх вартість</w:t>
      </w:r>
      <w:r w:rsidR="00282FF1">
        <w:rPr>
          <w:rFonts w:ascii="Times New Roman" w:eastAsia="Times New Roman" w:hAnsi="Times New Roman" w:cs="Times New Roman"/>
          <w:sz w:val="24"/>
          <w:szCs w:val="24"/>
        </w:rPr>
        <w:br/>
      </w:r>
      <w:r>
        <w:rPr>
          <w:rFonts w:ascii="Times New Roman" w:eastAsia="Times New Roman" w:hAnsi="Times New Roman" w:cs="Times New Roman"/>
          <w:sz w:val="24"/>
          <w:szCs w:val="24"/>
        </w:rPr>
        <w:t>(КБ-2в,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3.</w:t>
      </w:r>
      <w:r w:rsidR="00796792">
        <w:rPr>
          <w:rFonts w:ascii="Times New Roman" w:eastAsia="Times New Roman" w:hAnsi="Times New Roman" w:cs="Times New Roman"/>
          <w:sz w:val="24"/>
          <w:szCs w:val="24"/>
        </w:rPr>
        <w:t>5</w:t>
      </w:r>
      <w:r>
        <w:rPr>
          <w:rFonts w:ascii="Times New Roman" w:eastAsia="Times New Roman" w:hAnsi="Times New Roman" w:cs="Times New Roman"/>
          <w:sz w:val="24"/>
          <w:szCs w:val="24"/>
        </w:rPr>
        <w:t>.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w:t>
      </w:r>
      <w:r w:rsidR="00EF2899">
        <w:rPr>
          <w:rFonts w:ascii="Times New Roman" w:eastAsia="Times New Roman" w:hAnsi="Times New Roman" w:cs="Times New Roman"/>
          <w:sz w:val="24"/>
          <w:szCs w:val="24"/>
        </w:rPr>
        <w:t>6</w:t>
      </w:r>
      <w:r>
        <w:rPr>
          <w:rFonts w:ascii="Times New Roman" w:eastAsia="Times New Roman" w:hAnsi="Times New Roman" w:cs="Times New Roman"/>
          <w:sz w:val="24"/>
          <w:szCs w:val="24"/>
        </w:rPr>
        <w:t>.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w:t>
      </w:r>
      <w:r w:rsidR="00EF2899">
        <w:rPr>
          <w:rFonts w:ascii="Times New Roman" w:eastAsia="Times New Roman" w:hAnsi="Times New Roman" w:cs="Times New Roman"/>
          <w:sz w:val="24"/>
          <w:szCs w:val="24"/>
        </w:rPr>
        <w:t>7</w:t>
      </w:r>
      <w:r>
        <w:rPr>
          <w:rFonts w:ascii="Times New Roman" w:eastAsia="Times New Roman" w:hAnsi="Times New Roman" w:cs="Times New Roman"/>
          <w:sz w:val="24"/>
          <w:szCs w:val="24"/>
        </w:rPr>
        <w:t>.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rsidR="00113CA6" w:rsidRDefault="006D0D3A" w:rsidP="0006691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E347B3">
        <w:rPr>
          <w:rFonts w:ascii="Times New Roman" w:eastAsia="Times New Roman" w:hAnsi="Times New Roman" w:cs="Times New Roman"/>
          <w:sz w:val="24"/>
          <w:szCs w:val="24"/>
        </w:rPr>
        <w:t xml:space="preserve">строк до </w:t>
      </w:r>
      <w:r w:rsidR="005C3FA1" w:rsidRPr="00E347B3">
        <w:rPr>
          <w:rFonts w:ascii="Times New Roman" w:eastAsia="Times New Roman" w:hAnsi="Times New Roman" w:cs="Times New Roman"/>
          <w:sz w:val="24"/>
          <w:szCs w:val="24"/>
        </w:rPr>
        <w:t>31</w:t>
      </w:r>
      <w:r w:rsidRPr="00E347B3">
        <w:rPr>
          <w:rFonts w:ascii="Times New Roman" w:eastAsia="Times New Roman" w:hAnsi="Times New Roman" w:cs="Times New Roman"/>
          <w:sz w:val="24"/>
          <w:szCs w:val="24"/>
        </w:rPr>
        <w:t>.12.202</w:t>
      </w:r>
      <w:r w:rsidR="0009720A" w:rsidRPr="00E347B3">
        <w:rPr>
          <w:rFonts w:ascii="Times New Roman" w:eastAsia="Times New Roman" w:hAnsi="Times New Roman" w:cs="Times New Roman"/>
          <w:sz w:val="24"/>
          <w:szCs w:val="24"/>
        </w:rPr>
        <w:t>4</w:t>
      </w:r>
      <w:r w:rsidRPr="00E347B3">
        <w:rPr>
          <w:rFonts w:ascii="Times New Roman" w:eastAsia="Times New Roman" w:hAnsi="Times New Roman" w:cs="Times New Roman"/>
          <w:sz w:val="24"/>
          <w:szCs w:val="24"/>
        </w:rPr>
        <w:t xml:space="preserve"> р. відповідно</w:t>
      </w:r>
      <w:r>
        <w:rPr>
          <w:rFonts w:ascii="Times New Roman" w:eastAsia="Times New Roman" w:hAnsi="Times New Roman" w:cs="Times New Roman"/>
          <w:sz w:val="24"/>
          <w:szCs w:val="24"/>
        </w:rPr>
        <w:t xml:space="preserve"> до діючих норм.</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проектуванні та уточняються в процесі будівництва. Якщо під час надання Послуг виникла потреба у такому збільшенні, “Виконавець” зобов'язаний у 15-</w:t>
      </w:r>
      <w:r>
        <w:rPr>
          <w:rFonts w:ascii="Times New Roman" w:eastAsia="Times New Roman" w:hAnsi="Times New Roman" w:cs="Times New Roman"/>
          <w:sz w:val="24"/>
          <w:szCs w:val="24"/>
        </w:rPr>
        <w:lastRenderedPageBreak/>
        <w:t>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113CA6" w:rsidRDefault="00EE1C7A">
      <w:pPr>
        <w:pStyle w:val="normal1"/>
        <w:spacing w:after="0" w:line="240" w:lineRule="auto"/>
        <w:jc w:val="both"/>
        <w:rPr>
          <w:rFonts w:ascii="Times New Roman" w:eastAsia="Times New Roman" w:hAnsi="Times New Roman" w:cs="Times New Roman"/>
        </w:rPr>
      </w:pPr>
      <w:bookmarkStart w:id="0" w:name="_heading=h.17dp8vu"/>
      <w:bookmarkEnd w:id="0"/>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Договору та вимагати відшкодування збитків, якщо «Виконавець» </w:t>
      </w:r>
      <w:r>
        <w:rPr>
          <w:rFonts w:ascii="Times New Roman" w:eastAsia="Times New Roman" w:hAnsi="Times New Roman" w:cs="Times New Roman"/>
          <w:sz w:val="24"/>
          <w:szCs w:val="24"/>
        </w:rPr>
        <w:lastRenderedPageBreak/>
        <w:t>своєчасно не розпочав Послуги або виконує їх настільки повільно, що завершення їх у визначений Договором строк стає неможливим;</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вживати заходів для збереження майна, переданого «Замовником»;</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відшкодувати відповідно до чинного законодавства України та Договору завдані </w:t>
      </w:r>
      <w:r>
        <w:rPr>
          <w:rFonts w:ascii="Times New Roman" w:eastAsia="Times New Roman" w:hAnsi="Times New Roman" w:cs="Times New Roman"/>
          <w:sz w:val="24"/>
          <w:szCs w:val="24"/>
        </w:rPr>
        <w:lastRenderedPageBreak/>
        <w:t>«Замовнику» збитки;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w:t>
      </w:r>
      <w:r w:rsidR="00A565A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КБ-3).</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w:t>
      </w:r>
      <w:r w:rsidR="00017282">
        <w:rPr>
          <w:rFonts w:ascii="Times New Roman" w:eastAsia="Times New Roman" w:hAnsi="Times New Roman" w:cs="Times New Roman"/>
          <w:sz w:val="24"/>
          <w:szCs w:val="24"/>
        </w:rPr>
        <w:t>пізніше</w:t>
      </w:r>
      <w:r w:rsidR="006D0D3A">
        <w:rPr>
          <w:rFonts w:ascii="Times New Roman" w:eastAsia="Times New Roman" w:hAnsi="Times New Roman" w:cs="Times New Roman"/>
          <w:sz w:val="24"/>
          <w:szCs w:val="24"/>
        </w:rPr>
        <w:t xml:space="preserve">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113CA6" w:rsidRDefault="00EE1C7A" w:rsidP="00610A97">
      <w:pPr>
        <w:pStyle w:val="normal1"/>
        <w:keepNext/>
        <w:spacing w:before="28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xml:space="preserve">. </w:t>
      </w:r>
      <w:proofErr w:type="spellStart"/>
      <w:r w:rsidR="006D0D3A">
        <w:rPr>
          <w:rFonts w:ascii="Times New Roman" w:eastAsia="Times New Roman" w:hAnsi="Times New Roman" w:cs="Times New Roman"/>
          <w:b/>
          <w:sz w:val="24"/>
          <w:szCs w:val="24"/>
        </w:rPr>
        <w:t>Оперативно</w:t>
      </w:r>
      <w:proofErr w:type="spellEnd"/>
      <w:r w:rsidR="006D0D3A">
        <w:rPr>
          <w:rFonts w:ascii="Times New Roman" w:eastAsia="Times New Roman" w:hAnsi="Times New Roman" w:cs="Times New Roman"/>
          <w:b/>
          <w:sz w:val="24"/>
          <w:szCs w:val="24"/>
        </w:rPr>
        <w:t>-господарські санкції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w:t>
      </w:r>
      <w:r w:rsidR="006D0D3A">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13CA6" w:rsidRDefault="00EE1C7A">
      <w:pPr>
        <w:pStyle w:val="normal1"/>
        <w:spacing w:after="0" w:line="240" w:lineRule="auto"/>
        <w:jc w:val="both"/>
        <w:rPr>
          <w:rFonts w:ascii="Times New Roman" w:eastAsia="Times New Roman" w:hAnsi="Times New Roman" w:cs="Times New Roman"/>
        </w:rPr>
      </w:pPr>
      <w:bookmarkStart w:id="1" w:name="_heading=h.3rdcrjn"/>
      <w:bookmarkEnd w:id="1"/>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EE1C7A" w:rsidRDefault="00EE1C7A">
      <w:pPr>
        <w:pStyle w:val="normal1"/>
        <w:spacing w:after="0" w:line="240" w:lineRule="auto"/>
        <w:jc w:val="both"/>
        <w:rPr>
          <w:rFonts w:ascii="Times New Roman" w:eastAsia="Times New Roman" w:hAnsi="Times New Roman" w:cs="Times New Roman"/>
          <w:sz w:val="24"/>
          <w:szCs w:val="24"/>
        </w:rPr>
      </w:pPr>
      <w:bookmarkStart w:id="2" w:name="_heading=h.26in1rg"/>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13CA6" w:rsidRDefault="00EE1C7A" w:rsidP="00574547">
      <w:pPr>
        <w:pStyle w:val="normal1"/>
        <w:shd w:val="clear" w:color="auto" w:fill="FFFFFF"/>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rsidR="00113CA6" w:rsidRDefault="00EE1C7A" w:rsidP="002852BF">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 xml:space="preserve">.1.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w:t>
      </w:r>
      <w:r w:rsidR="006D0D3A">
        <w:rPr>
          <w:rFonts w:ascii="Times New Roman" w:eastAsia="Times New Roman" w:hAnsi="Times New Roman" w:cs="Times New Roman"/>
          <w:sz w:val="24"/>
          <w:szCs w:val="24"/>
        </w:rPr>
        <w:lastRenderedPageBreak/>
        <w:t>уповноваженими представниками обох Сторін, скріплюється печатками Сторін (за наявності) та є невід`ємною частиною.</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w:t>
      </w:r>
      <w:r w:rsidR="006A0B33">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 а у частині зобов’язань за договором – до повного їх виконання.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r w:rsidR="008641B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ути</w:t>
      </w:r>
      <w:proofErr w:type="spellEnd"/>
      <w:r>
        <w:rPr>
          <w:rFonts w:ascii="Times New Roman" w:eastAsia="Times New Roman" w:hAnsi="Times New Roman" w:cs="Times New Roman"/>
          <w:i/>
          <w:sz w:val="24"/>
          <w:szCs w:val="24"/>
        </w:rPr>
        <w:t xml:space="preserve">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EE1C7A">
        <w:rPr>
          <w:rFonts w:ascii="Times New Roman" w:eastAsia="Times New Roman" w:hAnsi="Times New Roman" w:cs="Times New Roman"/>
          <w:sz w:val="24"/>
          <w:szCs w:val="24"/>
        </w:rPr>
        <w:lastRenderedPageBreak/>
        <w:t>від 25 квітня 2023 р. </w:t>
      </w:r>
      <w:hyperlink r:id="rId8"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21</w:t>
      </w:r>
      <w:r w:rsidR="006D0D3A">
        <w:rPr>
          <w:rFonts w:ascii="Times New Roman" w:eastAsia="Times New Roman" w:hAnsi="Times New Roman" w:cs="Times New Roman"/>
          <w:b/>
          <w:sz w:val="24"/>
          <w:szCs w:val="24"/>
        </w:rPr>
        <w:t>. Прикінцеві положення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6D0D3A">
        <w:rPr>
          <w:rFonts w:ascii="Times New Roman" w:eastAsia="Times New Roman" w:hAnsi="Times New Roman" w:cs="Times New Roman"/>
          <w:b/>
          <w:sz w:val="24"/>
          <w:szCs w:val="24"/>
        </w:rPr>
        <w:t>. Антикорупційні застереження</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Зведений кошторисний розрахунок; </w:t>
      </w:r>
    </w:p>
    <w:p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rsidTr="00EE1C7A">
        <w:trPr>
          <w:trHeight w:val="2201"/>
        </w:trPr>
        <w:tc>
          <w:tcPr>
            <w:tcW w:w="5351"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rsidR="00113CA6" w:rsidRPr="00EE1C7A" w:rsidRDefault="00113CA6" w:rsidP="00EE1C7A">
      <w:pPr>
        <w:pStyle w:val="normal1"/>
        <w:spacing w:after="0" w:line="240" w:lineRule="auto"/>
        <w:jc w:val="both"/>
        <w:rPr>
          <w:rFonts w:ascii="Times New Roman" w:eastAsia="Times New Roman" w:hAnsi="Times New Roman" w:cs="Times New Roman"/>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113CA6" w:rsidRDefault="00113CA6">
      <w:pPr>
        <w:pStyle w:val="normal1"/>
        <w:jc w:val="center"/>
        <w:rPr>
          <w:rFonts w:ascii="Times New Roman" w:eastAsia="Times New Roman" w:hAnsi="Times New Roman" w:cs="Times New Roman"/>
          <w:b/>
          <w:color w:val="000000"/>
          <w:sz w:val="24"/>
          <w:szCs w:val="24"/>
          <w:u w:val="single"/>
        </w:rPr>
      </w:pPr>
    </w:p>
    <w:p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rsidR="00113CA6" w:rsidRDefault="00113CA6">
      <w:pPr>
        <w:pStyle w:val="normal1"/>
        <w:jc w:val="center"/>
        <w:rPr>
          <w:rFonts w:ascii="Times New Roman" w:eastAsia="Times New Roman" w:hAnsi="Times New Roman" w:cs="Times New Roman"/>
          <w:color w:val="000000"/>
          <w:sz w:val="24"/>
          <w:szCs w:val="24"/>
        </w:rPr>
      </w:pPr>
    </w:p>
    <w:p w:rsidR="00113CA6" w:rsidRDefault="006D0D3A" w:rsidP="00666C42">
      <w:pPr>
        <w:pStyle w:val="normal1"/>
        <w:spacing w:before="280" w:after="280" w:line="360"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sidR="0009720A">
        <w:rPr>
          <w:rFonts w:ascii="Times New Roman" w:eastAsia="Times New Roman" w:hAnsi="Times New Roman" w:cs="Times New Roman"/>
          <w:i/>
          <w:color w:val="000000"/>
          <w:sz w:val="24"/>
          <w:szCs w:val="24"/>
        </w:rPr>
        <w:t>___________________________________________________________________________</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згідно з техніч</w:t>
      </w:r>
      <w:bookmarkStart w:id="3" w:name="_GoBack"/>
      <w:bookmarkEnd w:id="3"/>
      <w:r>
        <w:rPr>
          <w:rFonts w:ascii="Times New Roman" w:eastAsia="Times New Roman" w:hAnsi="Times New Roman" w:cs="Times New Roman"/>
          <w:i/>
          <w:color w:val="000000"/>
          <w:sz w:val="24"/>
          <w:szCs w:val="24"/>
        </w:rPr>
        <w:t>ними, якісними, кількісними та іншими вимогами, запропонованими замовником торгів –</w:t>
      </w:r>
      <w:r>
        <w:rPr>
          <w:rFonts w:ascii="Times New Roman" w:eastAsia="Times New Roman" w:hAnsi="Times New Roman" w:cs="Times New Roman"/>
          <w:b/>
          <w:i/>
          <w:color w:val="000000"/>
          <w:sz w:val="24"/>
          <w:szCs w:val="24"/>
        </w:rPr>
        <w:t xml:space="preserve"> </w:t>
      </w:r>
      <w:r w:rsidR="0009720A">
        <w:rPr>
          <w:rFonts w:ascii="Times New Roman" w:eastAsia="Times New Roman" w:hAnsi="Times New Roman" w:cs="Times New Roman"/>
          <w:b/>
          <w:i/>
          <w:color w:val="000000"/>
        </w:rPr>
        <w:t>_____________________________________________________________</w:t>
      </w:r>
      <w:r>
        <w:rPr>
          <w:rFonts w:ascii="Times New Roman" w:eastAsia="Times New Roman" w:hAnsi="Times New Roman" w:cs="Times New Roman"/>
          <w:b/>
          <w:i/>
          <w:color w:val="000000"/>
        </w:rPr>
        <w:t xml:space="preserve"> </w:t>
      </w:r>
    </w:p>
    <w:p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Найменування предмету закупівлі                                       виробник, країна походження обладнання, яке буде встановлено</w:t>
            </w: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jc w:val="center"/>
              <w:rPr>
                <w:rFonts w:ascii="Times New Roman" w:eastAsia="Times New Roman" w:hAnsi="Times New Roman" w:cs="Times New Roman"/>
                <w:sz w:val="24"/>
                <w:szCs w:val="24"/>
              </w:rPr>
            </w:pPr>
          </w:p>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rsidR="00113CA6" w:rsidRDefault="00113CA6">
      <w:pPr>
        <w:pStyle w:val="normal1"/>
        <w:tabs>
          <w:tab w:val="left" w:pos="142"/>
        </w:tabs>
        <w:rPr>
          <w:rFonts w:ascii="Times New Roman" w:eastAsia="Times New Roman" w:hAnsi="Times New Roman" w:cs="Times New Roman"/>
          <w:b/>
          <w:i/>
          <w:color w:val="000000"/>
          <w:sz w:val="24"/>
          <w:szCs w:val="24"/>
        </w:rPr>
      </w:pPr>
    </w:p>
    <w:p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DD540D">
      <w:headerReference w:type="default" r:id="rId9"/>
      <w:pgSz w:w="11906" w:h="16838"/>
      <w:pgMar w:top="426" w:right="850" w:bottom="765" w:left="1417" w:header="284"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A7" w:rsidRDefault="000E47A7">
      <w:pPr>
        <w:spacing w:after="0" w:line="240" w:lineRule="auto"/>
      </w:pPr>
      <w:r>
        <w:separator/>
      </w:r>
    </w:p>
  </w:endnote>
  <w:endnote w:type="continuationSeparator" w:id="0">
    <w:p w:rsidR="000E47A7" w:rsidRDefault="000E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A7" w:rsidRDefault="000E47A7">
      <w:pPr>
        <w:spacing w:after="0" w:line="240" w:lineRule="auto"/>
      </w:pPr>
      <w:r>
        <w:separator/>
      </w:r>
    </w:p>
  </w:footnote>
  <w:footnote w:type="continuationSeparator" w:id="0">
    <w:p w:rsidR="000E47A7" w:rsidRDefault="000E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15:restartNumberingAfterBreak="0">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15:restartNumberingAfterBreak="0">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15:restartNumberingAfterBreak="0">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15:restartNumberingAfterBreak="0">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15:restartNumberingAfterBreak="0">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15:restartNumberingAfterBreak="0">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15:restartNumberingAfterBreak="0">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15:restartNumberingAfterBreak="0">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15:restartNumberingAfterBreak="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15:restartNumberingAfterBreak="0">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15:restartNumberingAfterBreak="0">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15:restartNumberingAfterBreak="0">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15:restartNumberingAfterBreak="0">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15:restartNumberingAfterBreak="0">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15:restartNumberingAfterBreak="0">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CA6"/>
    <w:rsid w:val="00017282"/>
    <w:rsid w:val="00066916"/>
    <w:rsid w:val="0009720A"/>
    <w:rsid w:val="000A39DD"/>
    <w:rsid w:val="000E47A7"/>
    <w:rsid w:val="000E6663"/>
    <w:rsid w:val="00113CA6"/>
    <w:rsid w:val="0021042C"/>
    <w:rsid w:val="002760D6"/>
    <w:rsid w:val="00282FF1"/>
    <w:rsid w:val="002852BF"/>
    <w:rsid w:val="002A39C1"/>
    <w:rsid w:val="002B2C41"/>
    <w:rsid w:val="002B7A9F"/>
    <w:rsid w:val="002D7106"/>
    <w:rsid w:val="002E54ED"/>
    <w:rsid w:val="003C4E75"/>
    <w:rsid w:val="00451B3E"/>
    <w:rsid w:val="004D6701"/>
    <w:rsid w:val="00546091"/>
    <w:rsid w:val="00574547"/>
    <w:rsid w:val="005C3FA1"/>
    <w:rsid w:val="005F3EBA"/>
    <w:rsid w:val="00610A97"/>
    <w:rsid w:val="006329C9"/>
    <w:rsid w:val="0065178B"/>
    <w:rsid w:val="00666C42"/>
    <w:rsid w:val="0069224A"/>
    <w:rsid w:val="006A0B33"/>
    <w:rsid w:val="006D0D3A"/>
    <w:rsid w:val="00713DC0"/>
    <w:rsid w:val="00735104"/>
    <w:rsid w:val="00741F83"/>
    <w:rsid w:val="007914DE"/>
    <w:rsid w:val="00796792"/>
    <w:rsid w:val="007F4FD8"/>
    <w:rsid w:val="0081596B"/>
    <w:rsid w:val="00836184"/>
    <w:rsid w:val="00852DDC"/>
    <w:rsid w:val="008641B1"/>
    <w:rsid w:val="00893463"/>
    <w:rsid w:val="008A3113"/>
    <w:rsid w:val="0090313B"/>
    <w:rsid w:val="009170C6"/>
    <w:rsid w:val="00953D0F"/>
    <w:rsid w:val="009671E3"/>
    <w:rsid w:val="00992B89"/>
    <w:rsid w:val="009C62F4"/>
    <w:rsid w:val="009E494A"/>
    <w:rsid w:val="00A565AC"/>
    <w:rsid w:val="00A62531"/>
    <w:rsid w:val="00B34CAA"/>
    <w:rsid w:val="00B4510A"/>
    <w:rsid w:val="00BD629D"/>
    <w:rsid w:val="00CD5301"/>
    <w:rsid w:val="00D530B6"/>
    <w:rsid w:val="00D6211C"/>
    <w:rsid w:val="00DD540D"/>
    <w:rsid w:val="00E2049B"/>
    <w:rsid w:val="00E347B3"/>
    <w:rsid w:val="00ED3547"/>
    <w:rsid w:val="00EE1C7A"/>
    <w:rsid w:val="00EF2899"/>
    <w:rsid w:val="00F031E0"/>
    <w:rsid w:val="00F3623F"/>
    <w:rsid w:val="00FB52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54CE9"/>
  <w15:docId w15:val="{E35B8D26-3BB6-4C0C-8AA3-F27E9BD1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urist1</cp:lastModifiedBy>
  <cp:revision>58</cp:revision>
  <dcterms:created xsi:type="dcterms:W3CDTF">2023-09-17T16:26:00Z</dcterms:created>
  <dcterms:modified xsi:type="dcterms:W3CDTF">2024-04-22T11:43:00Z</dcterms:modified>
  <dc:language>ru-RU</dc:language>
</cp:coreProperties>
</file>