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12" w:rsidRPr="00A50DC5" w:rsidRDefault="00AE4712" w:rsidP="00AE4712">
      <w:pPr>
        <w:jc w:val="right"/>
        <w:rPr>
          <w:i/>
        </w:rPr>
      </w:pPr>
      <w:r w:rsidRPr="00A50DC5">
        <w:rPr>
          <w:i/>
        </w:rPr>
        <w:t xml:space="preserve">Додаток № 1 до тендерної документації </w:t>
      </w:r>
    </w:p>
    <w:p w:rsidR="00AE4712" w:rsidRPr="00A50DC5" w:rsidRDefault="00AE4712" w:rsidP="00AE4712">
      <w:pPr>
        <w:jc w:val="center"/>
        <w:rPr>
          <w:i/>
          <w:iCs/>
        </w:rPr>
      </w:pPr>
    </w:p>
    <w:p w:rsidR="00AE4712" w:rsidRPr="00A50DC5" w:rsidRDefault="00AE4712" w:rsidP="00AE4712">
      <w:pPr>
        <w:pStyle w:val="1"/>
        <w:spacing w:before="0" w:after="0"/>
        <w:jc w:val="center"/>
        <w:rPr>
          <w:rFonts w:ascii="Times New Roman" w:hAnsi="Times New Roman"/>
          <w:b w:val="0"/>
          <w:caps/>
          <w:sz w:val="24"/>
          <w:szCs w:val="24"/>
        </w:rPr>
      </w:pPr>
      <w:r w:rsidRPr="00A50DC5">
        <w:rPr>
          <w:rFonts w:ascii="Times New Roman" w:hAnsi="Times New Roman"/>
          <w:b w:val="0"/>
          <w:caps/>
          <w:sz w:val="24"/>
          <w:szCs w:val="24"/>
        </w:rPr>
        <w:t>ТЕНДЕРНА ПРОПОЗИЦІЯ</w:t>
      </w:r>
    </w:p>
    <w:p w:rsidR="00AE4712" w:rsidRPr="00A50DC5" w:rsidRDefault="00AE4712" w:rsidP="00AE4712"/>
    <w:p w:rsidR="00AE4712" w:rsidRPr="00A50DC5" w:rsidRDefault="00AE4712" w:rsidP="00AE4712">
      <w:pPr>
        <w:rPr>
          <w:i/>
          <w:iCs/>
        </w:rPr>
      </w:pPr>
      <w:r w:rsidRPr="00A50DC5">
        <w:t>КОМУ: Головне управління Держгеокадастру у Сумській області</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701"/>
      </w:tblGrid>
      <w:tr w:rsidR="00AE4712" w:rsidRPr="00A50DC5" w:rsidTr="006961F8">
        <w:trPr>
          <w:trHeight w:val="50"/>
        </w:trPr>
        <w:tc>
          <w:tcPr>
            <w:tcW w:w="9923" w:type="dxa"/>
            <w:gridSpan w:val="2"/>
            <w:shd w:val="clear" w:color="auto" w:fill="auto"/>
            <w:vAlign w:val="center"/>
          </w:tcPr>
          <w:p w:rsidR="00AE4712" w:rsidRPr="00A50DC5" w:rsidRDefault="00AE4712" w:rsidP="006961F8">
            <w:pPr>
              <w:ind w:right="-108"/>
              <w:jc w:val="center"/>
              <w:rPr>
                <w:b/>
              </w:rPr>
            </w:pPr>
            <w:r w:rsidRPr="00A50DC5">
              <w:rPr>
                <w:b/>
              </w:rPr>
              <w:t>Відомості про учасника</w:t>
            </w:r>
          </w:p>
        </w:tc>
      </w:tr>
      <w:tr w:rsidR="00AE4712" w:rsidRPr="00A50DC5" w:rsidTr="006961F8">
        <w:trPr>
          <w:trHeight w:val="210"/>
        </w:trPr>
        <w:tc>
          <w:tcPr>
            <w:tcW w:w="8222" w:type="dxa"/>
            <w:shd w:val="clear" w:color="auto" w:fill="auto"/>
            <w:vAlign w:val="center"/>
          </w:tcPr>
          <w:p w:rsidR="00AE4712" w:rsidRPr="00A50DC5" w:rsidRDefault="00AE4712" w:rsidP="006961F8">
            <w:r w:rsidRPr="00A50DC5">
              <w:t>Повна назва (для юридичних осіб) або прізвище, ім’я та по батькові (для фізичних осіб) учасника процедури закупівлі</w:t>
            </w:r>
          </w:p>
        </w:tc>
        <w:tc>
          <w:tcPr>
            <w:tcW w:w="1701" w:type="dxa"/>
            <w:shd w:val="clear" w:color="auto" w:fill="auto"/>
          </w:tcPr>
          <w:p w:rsidR="00AE4712" w:rsidRPr="00A50DC5" w:rsidRDefault="00AE4712" w:rsidP="006961F8"/>
        </w:tc>
      </w:tr>
      <w:tr w:rsidR="00AE4712" w:rsidRPr="00A50DC5" w:rsidTr="006961F8">
        <w:trPr>
          <w:trHeight w:val="76"/>
        </w:trPr>
        <w:tc>
          <w:tcPr>
            <w:tcW w:w="8222" w:type="dxa"/>
            <w:shd w:val="clear" w:color="auto" w:fill="auto"/>
            <w:vAlign w:val="center"/>
          </w:tcPr>
          <w:p w:rsidR="00AE4712" w:rsidRPr="00A50DC5" w:rsidRDefault="00AE4712" w:rsidP="006961F8">
            <w:r w:rsidRPr="00A50DC5">
              <w:t>Місцезнаходження (для юридичних осіб) або місце проживання (для фізичних осіб)</w:t>
            </w:r>
          </w:p>
        </w:tc>
        <w:tc>
          <w:tcPr>
            <w:tcW w:w="1701" w:type="dxa"/>
            <w:shd w:val="clear" w:color="auto" w:fill="auto"/>
          </w:tcPr>
          <w:p w:rsidR="00AE4712" w:rsidRPr="00A50DC5" w:rsidRDefault="00AE4712" w:rsidP="006961F8"/>
        </w:tc>
      </w:tr>
      <w:tr w:rsidR="00AE4712" w:rsidRPr="00A50DC5" w:rsidTr="006961F8">
        <w:trPr>
          <w:trHeight w:val="50"/>
        </w:trPr>
        <w:tc>
          <w:tcPr>
            <w:tcW w:w="8222" w:type="dxa"/>
            <w:shd w:val="clear" w:color="auto" w:fill="auto"/>
            <w:vAlign w:val="center"/>
          </w:tcPr>
          <w:p w:rsidR="00AE4712" w:rsidRPr="00A50DC5" w:rsidRDefault="00AE4712" w:rsidP="006961F8">
            <w:r w:rsidRPr="00A50DC5">
              <w:t>Код за ЄДРПОУ/ реєстраційний номер облікової картки платника податків*</w:t>
            </w:r>
          </w:p>
        </w:tc>
        <w:tc>
          <w:tcPr>
            <w:tcW w:w="1701" w:type="dxa"/>
            <w:shd w:val="clear" w:color="auto" w:fill="auto"/>
          </w:tcPr>
          <w:p w:rsidR="00AE4712" w:rsidRPr="00A50DC5" w:rsidRDefault="00AE4712" w:rsidP="006961F8"/>
        </w:tc>
      </w:tr>
      <w:tr w:rsidR="00AE4712" w:rsidRPr="00A50DC5" w:rsidTr="006961F8">
        <w:trPr>
          <w:trHeight w:val="50"/>
        </w:trPr>
        <w:tc>
          <w:tcPr>
            <w:tcW w:w="8222" w:type="dxa"/>
            <w:shd w:val="clear" w:color="auto" w:fill="auto"/>
            <w:vAlign w:val="center"/>
          </w:tcPr>
          <w:p w:rsidR="00AE4712" w:rsidRPr="00A50DC5" w:rsidRDefault="00AE4712" w:rsidP="006961F8">
            <w:r w:rsidRPr="00A50DC5">
              <w:t>Поштова адреса</w:t>
            </w:r>
          </w:p>
        </w:tc>
        <w:tc>
          <w:tcPr>
            <w:tcW w:w="1701" w:type="dxa"/>
            <w:shd w:val="clear" w:color="auto" w:fill="auto"/>
          </w:tcPr>
          <w:p w:rsidR="00AE4712" w:rsidRPr="00A50DC5" w:rsidRDefault="00AE4712" w:rsidP="006961F8"/>
        </w:tc>
      </w:tr>
      <w:tr w:rsidR="00AE4712" w:rsidRPr="00A50DC5" w:rsidTr="006961F8">
        <w:trPr>
          <w:trHeight w:val="50"/>
        </w:trPr>
        <w:tc>
          <w:tcPr>
            <w:tcW w:w="8222" w:type="dxa"/>
            <w:shd w:val="clear" w:color="auto" w:fill="auto"/>
            <w:vAlign w:val="center"/>
          </w:tcPr>
          <w:p w:rsidR="00AE4712" w:rsidRPr="00A50DC5" w:rsidRDefault="00AE4712" w:rsidP="006961F8">
            <w:r w:rsidRPr="00A50DC5">
              <w:t>Інформація про обслуговуючий(</w:t>
            </w:r>
            <w:proofErr w:type="spellStart"/>
            <w:r w:rsidRPr="00A50DC5">
              <w:t>чі</w:t>
            </w:r>
            <w:proofErr w:type="spellEnd"/>
            <w:r w:rsidRPr="00A50DC5">
              <w:t>) банк(</w:t>
            </w:r>
            <w:proofErr w:type="spellStart"/>
            <w:r w:rsidRPr="00A50DC5">
              <w:t>ки</w:t>
            </w:r>
            <w:proofErr w:type="spellEnd"/>
            <w:r w:rsidRPr="00A50DC5">
              <w:t>) (банківські реквізити)</w:t>
            </w:r>
          </w:p>
        </w:tc>
        <w:tc>
          <w:tcPr>
            <w:tcW w:w="1701" w:type="dxa"/>
            <w:shd w:val="clear" w:color="auto" w:fill="auto"/>
          </w:tcPr>
          <w:p w:rsidR="00AE4712" w:rsidRPr="00A50DC5" w:rsidRDefault="00AE4712" w:rsidP="006961F8"/>
        </w:tc>
      </w:tr>
      <w:tr w:rsidR="00AE4712" w:rsidRPr="00A50DC5" w:rsidTr="006961F8">
        <w:trPr>
          <w:trHeight w:val="340"/>
        </w:trPr>
        <w:tc>
          <w:tcPr>
            <w:tcW w:w="8222" w:type="dxa"/>
            <w:shd w:val="clear" w:color="auto" w:fill="auto"/>
            <w:vAlign w:val="center"/>
          </w:tcPr>
          <w:p w:rsidR="00AE4712" w:rsidRPr="00A50DC5" w:rsidRDefault="00AE4712" w:rsidP="006961F8">
            <w:r w:rsidRPr="00A50DC5">
              <w:t>Керівництво (прізвище, ім'я та по батькові, посада, контактний телефон) – для юридичних осіб</w:t>
            </w:r>
          </w:p>
        </w:tc>
        <w:tc>
          <w:tcPr>
            <w:tcW w:w="1701" w:type="dxa"/>
            <w:shd w:val="clear" w:color="auto" w:fill="auto"/>
          </w:tcPr>
          <w:p w:rsidR="00AE4712" w:rsidRPr="00A50DC5" w:rsidRDefault="00AE4712" w:rsidP="006961F8"/>
        </w:tc>
      </w:tr>
      <w:tr w:rsidR="00AE4712" w:rsidRPr="00A50DC5" w:rsidTr="006961F8">
        <w:trPr>
          <w:trHeight w:val="50"/>
        </w:trPr>
        <w:tc>
          <w:tcPr>
            <w:tcW w:w="8222" w:type="dxa"/>
            <w:shd w:val="clear" w:color="auto" w:fill="auto"/>
            <w:vAlign w:val="center"/>
          </w:tcPr>
          <w:p w:rsidR="00AE4712" w:rsidRPr="00A50DC5" w:rsidRDefault="00AE4712" w:rsidP="006961F8">
            <w:pPr>
              <w:rPr>
                <w:strike/>
              </w:rPr>
            </w:pPr>
            <w:r w:rsidRPr="00A50DC5">
              <w:t>Телефон, факс, електронна пошта</w:t>
            </w:r>
          </w:p>
        </w:tc>
        <w:tc>
          <w:tcPr>
            <w:tcW w:w="1701" w:type="dxa"/>
            <w:shd w:val="clear" w:color="auto" w:fill="auto"/>
          </w:tcPr>
          <w:p w:rsidR="00AE4712" w:rsidRPr="00A50DC5" w:rsidRDefault="00AE4712" w:rsidP="006961F8"/>
        </w:tc>
      </w:tr>
      <w:tr w:rsidR="00AE4712" w:rsidRPr="00A50DC5" w:rsidTr="006961F8">
        <w:trPr>
          <w:trHeight w:val="50"/>
        </w:trPr>
        <w:tc>
          <w:tcPr>
            <w:tcW w:w="8222" w:type="dxa"/>
            <w:shd w:val="clear" w:color="auto" w:fill="auto"/>
          </w:tcPr>
          <w:p w:rsidR="00AE4712" w:rsidRPr="00A50DC5" w:rsidRDefault="00AE4712" w:rsidP="006961F8">
            <w:r w:rsidRPr="00A50DC5">
              <w:t>Особа (особи), яка(і) уповноважена(і) діяти від імені учасника і яка(і) має(</w:t>
            </w:r>
            <w:proofErr w:type="spellStart"/>
            <w:r w:rsidRPr="00A50DC5">
              <w:t>ють</w:t>
            </w:r>
            <w:proofErr w:type="spellEnd"/>
            <w:r w:rsidRPr="00A50DC5">
              <w:t xml:space="preserve">) право підписувати </w:t>
            </w:r>
            <w:r w:rsidRPr="00A50DC5">
              <w:rPr>
                <w:lang w:eastAsia="uk-UA"/>
              </w:rPr>
              <w:t>тендерну</w:t>
            </w:r>
            <w:r w:rsidRPr="00A50DC5">
              <w:t xml:space="preserve"> пропозицію</w:t>
            </w:r>
          </w:p>
        </w:tc>
        <w:tc>
          <w:tcPr>
            <w:tcW w:w="1701" w:type="dxa"/>
            <w:shd w:val="clear" w:color="auto" w:fill="auto"/>
          </w:tcPr>
          <w:p w:rsidR="00AE4712" w:rsidRPr="00A50DC5" w:rsidRDefault="00AE4712" w:rsidP="006961F8"/>
        </w:tc>
      </w:tr>
    </w:tbl>
    <w:p w:rsidR="00AE4712" w:rsidRPr="00A50DC5" w:rsidRDefault="00AE4712" w:rsidP="00AE4712">
      <w:pPr>
        <w:spacing w:before="120" w:after="120"/>
        <w:ind w:right="-23"/>
        <w:jc w:val="both"/>
        <w:rPr>
          <w:i/>
          <w:sz w:val="20"/>
          <w:szCs w:val="20"/>
        </w:rPr>
      </w:pPr>
      <w:r w:rsidRPr="00A50DC5">
        <w:rPr>
          <w:i/>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AE4712" w:rsidRPr="00A50DC5" w:rsidRDefault="00AE4712" w:rsidP="00AE4712">
      <w:pPr>
        <w:spacing w:before="120"/>
        <w:ind w:right="-23" w:firstLine="567"/>
        <w:jc w:val="both"/>
        <w:textAlignment w:val="baseline"/>
      </w:pPr>
      <w:r w:rsidRPr="00A50DC5">
        <w:t>Вивчивши тендерну документацію по предмету закупівлі:</w:t>
      </w:r>
      <w:r w:rsidRPr="00A50DC5">
        <w:rPr>
          <w:rFonts w:eastAsia="Calibri"/>
          <w:lang w:eastAsia="en-US"/>
        </w:rPr>
        <w:t xml:space="preserve"> Послуги із проведення державної інвентаризації </w:t>
      </w:r>
      <w:r w:rsidRPr="00670A57">
        <w:rPr>
          <w:rFonts w:eastAsia="Calibri"/>
          <w:lang w:eastAsia="en-US"/>
        </w:rPr>
        <w:t xml:space="preserve">земель </w:t>
      </w:r>
      <w:r w:rsidR="00C4607E" w:rsidRPr="00670A57">
        <w:rPr>
          <w:rFonts w:eastAsia="Calibri"/>
          <w:lang w:eastAsia="en-US"/>
        </w:rPr>
        <w:t xml:space="preserve">лісогосподарського призначення і земель </w:t>
      </w:r>
      <w:proofErr w:type="spellStart"/>
      <w:r w:rsidR="00C4607E" w:rsidRPr="00670A57">
        <w:rPr>
          <w:rFonts w:eastAsia="Calibri"/>
          <w:lang w:eastAsia="en-US"/>
        </w:rPr>
        <w:t>природно</w:t>
      </w:r>
      <w:r w:rsidR="00ED7C19" w:rsidRPr="00670A57">
        <w:rPr>
          <w:rFonts w:eastAsia="Calibri"/>
          <w:lang w:eastAsia="en-US"/>
        </w:rPr>
        <w:t>-</w:t>
      </w:r>
      <w:proofErr w:type="spellEnd"/>
      <w:r w:rsidR="00C4607E" w:rsidRPr="00670A57">
        <w:rPr>
          <w:rFonts w:eastAsia="Calibri"/>
          <w:lang w:eastAsia="en-US"/>
        </w:rPr>
        <w:t xml:space="preserve"> заповідного фонду</w:t>
      </w:r>
      <w:r w:rsidR="00AF7CDD" w:rsidRPr="00670A57">
        <w:rPr>
          <w:rFonts w:eastAsia="Calibri"/>
          <w:lang w:eastAsia="en-US"/>
        </w:rPr>
        <w:t xml:space="preserve"> та іншого природоохоронного призначення </w:t>
      </w:r>
      <w:r w:rsidRPr="00670A57">
        <w:rPr>
          <w:rFonts w:eastAsia="Calibri"/>
          <w:lang w:eastAsia="en-US"/>
        </w:rPr>
        <w:t xml:space="preserve"> державної</w:t>
      </w:r>
      <w:r w:rsidRPr="00A50DC5">
        <w:rPr>
          <w:rFonts w:eastAsia="Calibri"/>
          <w:lang w:eastAsia="en-US"/>
        </w:rPr>
        <w:t xml:space="preserve"> форми власності на території Сумської області</w:t>
      </w:r>
      <w:r w:rsidRPr="00A50DC5">
        <w:t xml:space="preserve">, </w:t>
      </w:r>
      <w:r w:rsidRPr="00A50DC5">
        <w:rPr>
          <w:rFonts w:eastAsiaTheme="minorHAnsi"/>
          <w:lang w:eastAsia="en-US"/>
        </w:rPr>
        <w:t>код згідно Є</w:t>
      </w:r>
      <w:r w:rsidRPr="00A50DC5">
        <w:t xml:space="preserve">диного закупівельного словника </w:t>
      </w:r>
      <w:r w:rsidRPr="00A50DC5">
        <w:rPr>
          <w:rStyle w:val="rvts15"/>
          <w:shd w:val="clear" w:color="auto" w:fill="FFFFFF"/>
        </w:rPr>
        <w:t xml:space="preserve">ДК 021:2015 </w:t>
      </w:r>
      <w:r>
        <w:rPr>
          <w:rStyle w:val="rvts15"/>
          <w:shd w:val="clear" w:color="auto" w:fill="FFFFFF"/>
        </w:rPr>
        <w:t>–</w:t>
      </w:r>
      <w:r w:rsidRPr="00A50DC5">
        <w:rPr>
          <w:rStyle w:val="rvts15"/>
          <w:shd w:val="clear" w:color="auto" w:fill="FFFFFF"/>
        </w:rPr>
        <w:t xml:space="preserve"> </w:t>
      </w:r>
      <w:r>
        <w:t xml:space="preserve">71350000-6 – Науково технічні послуги в галузі інженерії </w:t>
      </w:r>
      <w:r w:rsidRPr="00A50DC5">
        <w:rPr>
          <w:b/>
        </w:rPr>
        <w:t>(далі – послуги),</w:t>
      </w:r>
      <w:r w:rsidRPr="00A50DC5">
        <w:rPr>
          <w:b/>
          <w:bCs/>
        </w:rPr>
        <w:t xml:space="preserve"> </w:t>
      </w:r>
      <w:r w:rsidRPr="00A50DC5">
        <w:rPr>
          <w:bCs/>
        </w:rPr>
        <w:t xml:space="preserve">ми, ___________________ </w:t>
      </w:r>
      <w:r w:rsidRPr="00A50DC5">
        <w:rPr>
          <w:i/>
          <w:iCs/>
        </w:rPr>
        <w:t xml:space="preserve">(повне найменування учасника), </w:t>
      </w:r>
      <w:r w:rsidRPr="00A50DC5">
        <w:t>приймаємо та погоджуємось з усіма умовами тендерної документації на зазначені вище торги, в тому числі із п</w:t>
      </w:r>
      <w:r w:rsidRPr="00A50DC5">
        <w:rPr>
          <w:bCs/>
        </w:rPr>
        <w:t xml:space="preserve">роектом договору про надання послуг </w:t>
      </w:r>
      <w:r w:rsidRPr="00A50DC5">
        <w:t xml:space="preserve">і технічним завданням, та пропонуємо здійснити закупівлю послуг, що є предметом закупівлі на загальну суму: ________________________ </w:t>
      </w:r>
      <w:r w:rsidRPr="00A50DC5">
        <w:rPr>
          <w:i/>
          <w:iCs/>
        </w:rPr>
        <w:t xml:space="preserve">(сума, цифрами і прописом) </w:t>
      </w:r>
      <w:proofErr w:type="spellStart"/>
      <w:r w:rsidRPr="00A50DC5">
        <w:t>грн</w:t>
      </w:r>
      <w:proofErr w:type="spellEnd"/>
      <w:r w:rsidRPr="00A50DC5">
        <w:t>,</w:t>
      </w:r>
      <w:r w:rsidRPr="00A50DC5" w:rsidDel="00B50B2C">
        <w:rPr>
          <w:i/>
          <w:iCs/>
        </w:rPr>
        <w:t xml:space="preserve"> </w:t>
      </w:r>
      <w:r w:rsidRPr="00A50DC5">
        <w:t>у тому числі ПДВ** – __________.</w:t>
      </w:r>
    </w:p>
    <w:p w:rsidR="00AE4712" w:rsidRPr="00A50DC5" w:rsidRDefault="00AE4712" w:rsidP="00AE4712">
      <w:pPr>
        <w:spacing w:before="120"/>
        <w:ind w:right="-23" w:firstLine="567"/>
        <w:jc w:val="both"/>
        <w:rPr>
          <w:iCs/>
        </w:rPr>
      </w:pPr>
      <w:r w:rsidRPr="00A50DC5">
        <w:rPr>
          <w:iCs/>
        </w:rPr>
        <w:t xml:space="preserve">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A50DC5">
        <w:rPr>
          <w:lang w:eastAsia="uk-UA"/>
        </w:rPr>
        <w:t>тендерній</w:t>
      </w:r>
      <w:r w:rsidRPr="00A50DC5">
        <w:rPr>
          <w:iCs/>
        </w:rPr>
        <w:t xml:space="preserve"> документації. </w:t>
      </w:r>
    </w:p>
    <w:p w:rsidR="00AE4712" w:rsidRPr="00A50DC5" w:rsidRDefault="00AE4712" w:rsidP="00AE4712">
      <w:pPr>
        <w:spacing w:before="120"/>
        <w:ind w:right="-23" w:firstLine="567"/>
        <w:jc w:val="both"/>
        <w:rPr>
          <w:iCs/>
        </w:rPr>
      </w:pPr>
      <w:r w:rsidRPr="00A50DC5">
        <w:rPr>
          <w:iCs/>
        </w:rPr>
        <w:t xml:space="preserve">Ми зобов’язуємося у випадку прийняття Вами рішення про намір укласти договір про закупівлю з нашою компанією у строк, що </w:t>
      </w:r>
      <w:r w:rsidRPr="00A50DC5">
        <w:rPr>
          <w:b/>
          <w:iCs/>
        </w:rPr>
        <w:t>не перевищує 10 (десять) днів</w:t>
      </w:r>
      <w:r w:rsidRPr="00A50DC5">
        <w:rPr>
          <w:iCs/>
        </w:rPr>
        <w:t xml:space="preserve"> з дати оприлюднення в електронній системі закупівель повідомлення</w:t>
      </w:r>
      <w:r w:rsidRPr="00A50DC5">
        <w:t xml:space="preserve"> про намір укласти договір</w:t>
      </w:r>
      <w:r w:rsidRPr="00A50DC5">
        <w:rPr>
          <w:iCs/>
        </w:rPr>
        <w:t xml:space="preserve">, подати замовнику документи, </w:t>
      </w:r>
      <w:r w:rsidRPr="00A50DC5">
        <w:t>що підтверджують відсутність підстав, визначених пунктами 2, 3, 5, 6 і 8 частини першої і частиною другою статті 17 Закону</w:t>
      </w:r>
      <w:r w:rsidRPr="00A50DC5">
        <w:rPr>
          <w:iCs/>
        </w:rPr>
        <w:t xml:space="preserve">, в тому числі документи, що визначені </w:t>
      </w:r>
      <w:r w:rsidRPr="00A50DC5">
        <w:rPr>
          <w:lang w:eastAsia="uk-UA"/>
        </w:rPr>
        <w:t xml:space="preserve">тендерною </w:t>
      </w:r>
      <w:r w:rsidRPr="00A50DC5">
        <w:rPr>
          <w:iCs/>
        </w:rPr>
        <w:t>документацією на зазначену вище закупівлю.</w:t>
      </w:r>
    </w:p>
    <w:p w:rsidR="00AE4712" w:rsidRPr="00A50DC5" w:rsidRDefault="00AE4712" w:rsidP="00AE4712">
      <w:pPr>
        <w:spacing w:before="120"/>
        <w:ind w:right="-23" w:firstLine="567"/>
        <w:jc w:val="both"/>
      </w:pPr>
      <w:r w:rsidRPr="00A50DC5">
        <w:t xml:space="preserve">Ми згодні дотримуватись положень цієї тендерної пропозиції </w:t>
      </w:r>
      <w:r w:rsidRPr="00A50DC5">
        <w:rPr>
          <w:b/>
        </w:rPr>
        <w:t>протягом 90 (дев’яноста) днів</w:t>
      </w:r>
      <w:r w:rsidRPr="00A50DC5">
        <w:t xml:space="preserve"> з дати кінцевого строку подання тендерної пропозиції. </w:t>
      </w:r>
    </w:p>
    <w:p w:rsidR="00AE4712" w:rsidRPr="00A50DC5" w:rsidRDefault="00AE4712" w:rsidP="00AE4712">
      <w:pPr>
        <w:spacing w:before="120"/>
        <w:ind w:right="-23" w:firstLine="567"/>
        <w:jc w:val="both"/>
      </w:pPr>
      <w:r w:rsidRPr="00A50DC5">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AE4712" w:rsidRPr="00A50DC5" w:rsidRDefault="00AE4712" w:rsidP="00AE4712">
      <w:pPr>
        <w:spacing w:before="120"/>
        <w:ind w:right="-23" w:firstLine="567"/>
        <w:jc w:val="both"/>
        <w:rPr>
          <w:iCs/>
        </w:rPr>
      </w:pPr>
      <w:r w:rsidRPr="00A50DC5">
        <w:rPr>
          <w:iCs/>
        </w:rPr>
        <w:t>Ми повідомляємо про відсутність будь-яких підстав, передбачених статтею 17 Закону України «Про публічні закупівлі», які спричинять відмову нам в участі у процедурі закупівлі.</w:t>
      </w:r>
    </w:p>
    <w:p w:rsidR="00AE4712" w:rsidRPr="00A50DC5" w:rsidRDefault="00AE4712" w:rsidP="00AE4712">
      <w:pPr>
        <w:spacing w:before="120"/>
        <w:ind w:right="-23" w:firstLine="567"/>
        <w:jc w:val="both"/>
        <w:rPr>
          <w:shd w:val="clear" w:color="auto" w:fill="FFFFFF"/>
        </w:rPr>
      </w:pPr>
      <w:r w:rsidRPr="00A50DC5">
        <w:rPr>
          <w:shd w:val="clear" w:color="auto" w:fill="FFFFFF"/>
        </w:rPr>
        <w:lastRenderedPageBreak/>
        <w:t xml:space="preserve">Якщо нам повідомлено про намір укласти договір, ми беремо на себе зобов’язання укласти договір про закупівлю протягом строку дії нашої пропозиції </w:t>
      </w:r>
      <w:r w:rsidRPr="00A50DC5">
        <w:rPr>
          <w:b/>
        </w:rPr>
        <w:t>не пізніше ніж через 20 (двадцять) днів</w:t>
      </w:r>
      <w:r w:rsidRPr="00A50DC5">
        <w:t xml:space="preserve"> з дня прийняття рішення про намір укласти договір про закупівлю </w:t>
      </w:r>
      <w:r w:rsidRPr="00A50DC5">
        <w:rPr>
          <w:shd w:val="clear" w:color="auto" w:fill="FFFFFF"/>
        </w:rPr>
        <w:t xml:space="preserve">відповідно до вимог тендерної документації та нашої пропозиції </w:t>
      </w:r>
      <w:r w:rsidRPr="00A50DC5">
        <w:rPr>
          <w:b/>
          <w:shd w:val="clear" w:color="auto" w:fill="FFFFFF"/>
        </w:rPr>
        <w:t>і не раніше ніж через 10 (десять) днів</w:t>
      </w:r>
      <w:r w:rsidRPr="00A50DC5">
        <w:t xml:space="preserve"> з дати оприлюднення в електронній системі закупівель повідомлення про намір укласти договір про закупівлю</w:t>
      </w:r>
      <w:r w:rsidRPr="00A50DC5">
        <w:rPr>
          <w:iCs/>
        </w:rPr>
        <w:t>, та виконати усі умови договору</w:t>
      </w:r>
      <w:r w:rsidRPr="00A50DC5">
        <w:rPr>
          <w:shd w:val="clear" w:color="auto" w:fill="FFFFFF"/>
        </w:rPr>
        <w:t>.</w:t>
      </w:r>
    </w:p>
    <w:p w:rsidR="00AE4712" w:rsidRPr="00A50DC5" w:rsidRDefault="00AE4712" w:rsidP="00AE4712">
      <w:pPr>
        <w:spacing w:before="120"/>
        <w:ind w:right="-23" w:firstLine="567"/>
        <w:jc w:val="both"/>
        <w:rPr>
          <w:iCs/>
        </w:rPr>
      </w:pPr>
      <w:r w:rsidRPr="00A50DC5">
        <w:rPr>
          <w:iCs/>
        </w:rPr>
        <w:t xml:space="preserve">До того часу, поки не буде підписано договір про закупівлю, наша </w:t>
      </w:r>
      <w:r w:rsidRPr="00A50DC5">
        <w:rPr>
          <w:lang w:eastAsia="uk-UA"/>
        </w:rPr>
        <w:t>тендерна</w:t>
      </w:r>
      <w:r w:rsidRPr="00A50DC5">
        <w:rPr>
          <w:iCs/>
        </w:rPr>
        <w:t xml:space="preserve"> пропозиція з Вашим </w:t>
      </w:r>
      <w:r w:rsidRPr="00A50DC5">
        <w:rPr>
          <w:lang w:eastAsia="uk-UA"/>
        </w:rPr>
        <w:t>повідомлення про намір укласти договір</w:t>
      </w:r>
      <w:r w:rsidRPr="00A50DC5">
        <w:rPr>
          <w:iCs/>
        </w:rPr>
        <w:t xml:space="preserve"> будуть означати домовленість між нами про укладання договору. </w:t>
      </w:r>
    </w:p>
    <w:p w:rsidR="00AE4712" w:rsidRPr="00A50DC5" w:rsidRDefault="00AE4712" w:rsidP="00AE4712"/>
    <w:p w:rsidR="00AE4712" w:rsidRPr="00A50DC5" w:rsidRDefault="00AE4712" w:rsidP="00AE4712"/>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7339"/>
      </w:tblGrid>
      <w:tr w:rsidR="00AE4712" w:rsidRPr="00A50DC5" w:rsidTr="006961F8">
        <w:tc>
          <w:tcPr>
            <w:tcW w:w="9911" w:type="dxa"/>
            <w:gridSpan w:val="2"/>
          </w:tcPr>
          <w:p w:rsidR="00AE4712" w:rsidRPr="00A50DC5" w:rsidRDefault="00AE4712" w:rsidP="006961F8">
            <w:pPr>
              <w:rPr>
                <w:i/>
                <w:iCs/>
              </w:rPr>
            </w:pPr>
            <w:r w:rsidRPr="00A50DC5">
              <w:t>Датовано: ___  ________________ 20__ р.</w:t>
            </w:r>
          </w:p>
        </w:tc>
      </w:tr>
      <w:tr w:rsidR="00AE4712" w:rsidRPr="00A50DC5" w:rsidTr="006961F8">
        <w:trPr>
          <w:trHeight w:val="649"/>
        </w:trPr>
        <w:tc>
          <w:tcPr>
            <w:tcW w:w="2552" w:type="dxa"/>
            <w:vAlign w:val="bottom"/>
          </w:tcPr>
          <w:p w:rsidR="00AE4712" w:rsidRPr="00A50DC5" w:rsidRDefault="00AE4712" w:rsidP="006961F8">
            <w:pPr>
              <w:jc w:val="center"/>
              <w:rPr>
                <w:i/>
                <w:iCs/>
              </w:rPr>
            </w:pPr>
            <w:r w:rsidRPr="00A50DC5">
              <w:rPr>
                <w:i/>
                <w:iCs/>
              </w:rPr>
              <w:t>___________</w:t>
            </w:r>
          </w:p>
        </w:tc>
        <w:tc>
          <w:tcPr>
            <w:tcW w:w="7359" w:type="dxa"/>
            <w:vAlign w:val="bottom"/>
          </w:tcPr>
          <w:p w:rsidR="00AE4712" w:rsidRPr="00A50DC5" w:rsidRDefault="00AE4712" w:rsidP="006961F8">
            <w:pPr>
              <w:jc w:val="center"/>
              <w:rPr>
                <w:i/>
                <w:iCs/>
              </w:rPr>
            </w:pPr>
            <w:r w:rsidRPr="00A50DC5">
              <w:rPr>
                <w:i/>
                <w:iCs/>
              </w:rPr>
              <w:t>___________________________________________________________</w:t>
            </w:r>
          </w:p>
        </w:tc>
      </w:tr>
      <w:tr w:rsidR="00AE4712" w:rsidRPr="00A50DC5" w:rsidTr="006961F8">
        <w:tc>
          <w:tcPr>
            <w:tcW w:w="2552" w:type="dxa"/>
          </w:tcPr>
          <w:p w:rsidR="00AE4712" w:rsidRPr="00A50DC5" w:rsidRDefault="00AE4712" w:rsidP="006961F8">
            <w:pPr>
              <w:jc w:val="center"/>
              <w:rPr>
                <w:i/>
                <w:iCs/>
              </w:rPr>
            </w:pPr>
            <w:r w:rsidRPr="00A50DC5">
              <w:rPr>
                <w:i/>
                <w:iCs/>
              </w:rPr>
              <w:t>(підпис)</w:t>
            </w:r>
          </w:p>
        </w:tc>
        <w:tc>
          <w:tcPr>
            <w:tcW w:w="7359" w:type="dxa"/>
          </w:tcPr>
          <w:p w:rsidR="00AE4712" w:rsidRPr="00A50DC5" w:rsidRDefault="00AE4712" w:rsidP="006961F8">
            <w:pPr>
              <w:jc w:val="center"/>
              <w:rPr>
                <w:i/>
                <w:iCs/>
              </w:rPr>
            </w:pPr>
            <w:r w:rsidRPr="00A50DC5">
              <w:rPr>
                <w:i/>
                <w:iCs/>
              </w:rPr>
              <w:t>(ініціали, прізвище, посада уповноваженої особи учасника)</w:t>
            </w:r>
          </w:p>
        </w:tc>
      </w:tr>
      <w:tr w:rsidR="00AE4712" w:rsidRPr="00A50DC5" w:rsidTr="006961F8">
        <w:tc>
          <w:tcPr>
            <w:tcW w:w="9911" w:type="dxa"/>
            <w:gridSpan w:val="2"/>
          </w:tcPr>
          <w:p w:rsidR="00AE4712" w:rsidRPr="00A50DC5" w:rsidRDefault="00AE4712" w:rsidP="006961F8">
            <w:pPr>
              <w:rPr>
                <w:i/>
                <w:iCs/>
              </w:rPr>
            </w:pPr>
            <w:r w:rsidRPr="00A50DC5">
              <w:rPr>
                <w:i/>
                <w:iCs/>
              </w:rPr>
              <w:t>М. П. (у разі наявності печатки)</w:t>
            </w:r>
          </w:p>
        </w:tc>
      </w:tr>
    </w:tbl>
    <w:p w:rsidR="00AE4712" w:rsidRPr="00A50DC5" w:rsidRDefault="00AE4712" w:rsidP="00AE4712"/>
    <w:p w:rsidR="00AE4712" w:rsidRPr="00A50DC5" w:rsidRDefault="00AE4712" w:rsidP="00AE4712"/>
    <w:p w:rsidR="00AE4712" w:rsidRPr="00A50DC5" w:rsidRDefault="00AE4712" w:rsidP="00AE4712">
      <w:pPr>
        <w:spacing w:before="120" w:after="120"/>
        <w:ind w:right="-23"/>
        <w:jc w:val="both"/>
        <w:rPr>
          <w:i/>
        </w:rPr>
      </w:pPr>
      <w:r w:rsidRPr="00A50DC5">
        <w:rPr>
          <w:i/>
        </w:rPr>
        <w:t>** Вимога щодо урахування ПДВ не стосується учасників, які не є платниками ПДВ згідно чинного законодавства.</w:t>
      </w:r>
    </w:p>
    <w:p w:rsidR="00AE4712" w:rsidRPr="00A50DC5" w:rsidRDefault="00AE4712" w:rsidP="00AE4712"/>
    <w:p w:rsidR="00AE4712" w:rsidRPr="00A50DC5" w:rsidRDefault="00AE4712" w:rsidP="00AE4712">
      <w:pPr>
        <w:ind w:right="49"/>
        <w:rPr>
          <w:i/>
        </w:rPr>
      </w:pPr>
      <w:r w:rsidRPr="00A50DC5">
        <w:rPr>
          <w:i/>
        </w:rPr>
        <w:t xml:space="preserve">                                                                       </w:t>
      </w: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Pr="00A50DC5" w:rsidRDefault="00AE4712" w:rsidP="00AE4712">
      <w:pPr>
        <w:ind w:right="49"/>
        <w:rPr>
          <w:i/>
        </w:rPr>
      </w:pPr>
    </w:p>
    <w:p w:rsidR="00AE4712" w:rsidRDefault="00AE4712" w:rsidP="00AE4712">
      <w:pPr>
        <w:ind w:right="49"/>
        <w:rPr>
          <w:i/>
        </w:rPr>
      </w:pPr>
    </w:p>
    <w:p w:rsidR="00AF74C4" w:rsidRDefault="00AF74C4" w:rsidP="00AE4712">
      <w:pPr>
        <w:ind w:right="49"/>
        <w:rPr>
          <w:i/>
        </w:rPr>
      </w:pPr>
    </w:p>
    <w:p w:rsidR="00AF74C4" w:rsidRDefault="00AF74C4" w:rsidP="00AE4712">
      <w:pPr>
        <w:ind w:right="49"/>
        <w:rPr>
          <w:i/>
        </w:rPr>
      </w:pPr>
    </w:p>
    <w:p w:rsidR="00AF74C4" w:rsidRDefault="00AF74C4" w:rsidP="00AE4712">
      <w:pPr>
        <w:ind w:right="49"/>
        <w:rPr>
          <w:i/>
        </w:rPr>
      </w:pPr>
    </w:p>
    <w:p w:rsidR="00AF74C4" w:rsidRDefault="00AF74C4" w:rsidP="00AE4712">
      <w:pPr>
        <w:ind w:right="49"/>
        <w:rPr>
          <w:i/>
        </w:rPr>
      </w:pPr>
    </w:p>
    <w:p w:rsidR="00AF74C4" w:rsidRDefault="00AF74C4" w:rsidP="00AE4712">
      <w:pPr>
        <w:ind w:right="49"/>
        <w:rPr>
          <w:i/>
        </w:rPr>
      </w:pPr>
    </w:p>
    <w:p w:rsidR="00AF74C4" w:rsidRDefault="00AF74C4" w:rsidP="00AE4712">
      <w:pPr>
        <w:ind w:right="49"/>
        <w:rPr>
          <w:i/>
        </w:rPr>
      </w:pPr>
    </w:p>
    <w:p w:rsidR="00AF74C4" w:rsidRPr="00A50DC5" w:rsidRDefault="00AF74C4" w:rsidP="00AE4712">
      <w:pPr>
        <w:ind w:right="49"/>
        <w:rPr>
          <w:i/>
        </w:rPr>
      </w:pPr>
      <w:bookmarkStart w:id="0" w:name="_GoBack"/>
      <w:bookmarkEnd w:id="0"/>
    </w:p>
    <w:p w:rsidR="00AE4712" w:rsidRPr="00A50DC5" w:rsidRDefault="00AE4712" w:rsidP="00AE4712">
      <w:pPr>
        <w:pStyle w:val="1"/>
        <w:spacing w:before="0" w:after="0"/>
        <w:rPr>
          <w:rFonts w:ascii="Times New Roman" w:hAnsi="Times New Roman"/>
          <w:strike/>
          <w:sz w:val="22"/>
          <w:szCs w:val="22"/>
        </w:rPr>
      </w:pPr>
    </w:p>
    <w:p w:rsidR="00AE4712" w:rsidRPr="00A50DC5" w:rsidRDefault="00AE4712" w:rsidP="00AE4712">
      <w:pPr>
        <w:pStyle w:val="1"/>
        <w:keepNext w:val="0"/>
        <w:widowControl w:val="0"/>
        <w:tabs>
          <w:tab w:val="left" w:pos="10348"/>
        </w:tabs>
        <w:spacing w:before="0" w:after="0"/>
        <w:rPr>
          <w:rFonts w:ascii="Times New Roman" w:hAnsi="Times New Roman"/>
          <w:b w:val="0"/>
          <w:bCs w:val="0"/>
          <w:i/>
          <w:sz w:val="24"/>
          <w:szCs w:val="24"/>
        </w:rPr>
      </w:pPr>
      <w:bookmarkStart w:id="1" w:name="_Toc196647671"/>
    </w:p>
    <w:p w:rsidR="00AE4712" w:rsidRDefault="00AE4712" w:rsidP="00AE4712">
      <w:pPr>
        <w:pStyle w:val="1"/>
        <w:keepNext w:val="0"/>
        <w:widowControl w:val="0"/>
        <w:tabs>
          <w:tab w:val="left" w:pos="10348"/>
        </w:tabs>
        <w:spacing w:before="0" w:after="0"/>
        <w:rPr>
          <w:rFonts w:ascii="Times New Roman" w:hAnsi="Times New Roman"/>
          <w:b w:val="0"/>
          <w:bCs w:val="0"/>
          <w:i/>
          <w:sz w:val="24"/>
          <w:szCs w:val="24"/>
        </w:rPr>
      </w:pPr>
    </w:p>
    <w:p w:rsidR="00AE4712" w:rsidRPr="00A50DC5" w:rsidRDefault="00AE4712" w:rsidP="00AE4712">
      <w:pPr>
        <w:pStyle w:val="1"/>
        <w:keepNext w:val="0"/>
        <w:widowControl w:val="0"/>
        <w:tabs>
          <w:tab w:val="left" w:pos="10348"/>
        </w:tabs>
        <w:spacing w:before="0" w:after="0"/>
        <w:jc w:val="right"/>
        <w:rPr>
          <w:rFonts w:ascii="Times New Roman" w:hAnsi="Times New Roman"/>
          <w:i/>
          <w:iCs/>
          <w:sz w:val="24"/>
          <w:szCs w:val="24"/>
        </w:rPr>
      </w:pPr>
      <w:r w:rsidRPr="00A50DC5">
        <w:rPr>
          <w:rFonts w:ascii="Times New Roman" w:hAnsi="Times New Roman"/>
          <w:b w:val="0"/>
          <w:bCs w:val="0"/>
          <w:i/>
          <w:sz w:val="24"/>
          <w:szCs w:val="24"/>
        </w:rPr>
        <w:lastRenderedPageBreak/>
        <w:t>Додаток № 2 до тендерної документації</w:t>
      </w:r>
    </w:p>
    <w:bookmarkEnd w:id="1"/>
    <w:p w:rsidR="00AE4712" w:rsidRPr="00A50DC5" w:rsidRDefault="00AE4712" w:rsidP="00AE4712">
      <w:pPr>
        <w:widowControl w:val="0"/>
        <w:jc w:val="center"/>
        <w:outlineLvl w:val="0"/>
        <w:rPr>
          <w:b/>
          <w:bCs/>
        </w:rPr>
      </w:pPr>
    </w:p>
    <w:p w:rsidR="00AE4712" w:rsidRPr="00C225D7" w:rsidRDefault="00AE4712" w:rsidP="00AE4712">
      <w:pPr>
        <w:widowControl w:val="0"/>
        <w:jc w:val="center"/>
        <w:outlineLvl w:val="0"/>
        <w:rPr>
          <w:b/>
          <w:bCs/>
        </w:rPr>
      </w:pPr>
      <w:r w:rsidRPr="00A50DC5">
        <w:rPr>
          <w:b/>
          <w:bCs/>
        </w:rPr>
        <w:t xml:space="preserve">ІНФОРМАЦІЯ ПРО НЕОБХІДНІ ТЕХНІЧНІ, ЯКІСНІ ТА КІЛЬКІСНІ </w:t>
      </w:r>
      <w:r w:rsidRPr="00C225D7">
        <w:rPr>
          <w:b/>
          <w:bCs/>
        </w:rPr>
        <w:t>ХАРАКТЕРИСТИКИ ПРЕДМЕТА ЗАКУПІВЛІ, В ТОМУ ЧИСЛІ ВІДПОВІДНА ТЕХНІЧНА СПЕЦИФІКАЦІЯ</w:t>
      </w:r>
    </w:p>
    <w:p w:rsidR="00AE4712" w:rsidRPr="00C225D7" w:rsidRDefault="00AE4712" w:rsidP="00AE4712">
      <w:pPr>
        <w:pStyle w:val="3"/>
        <w:keepNext w:val="0"/>
        <w:keepLines w:val="0"/>
        <w:widowControl w:val="0"/>
        <w:spacing w:before="0"/>
        <w:jc w:val="center"/>
        <w:rPr>
          <w:rFonts w:ascii="Times New Roman" w:hAnsi="Times New Roman" w:cs="Times New Roman"/>
          <w:b/>
          <w:color w:val="auto"/>
        </w:rPr>
      </w:pPr>
    </w:p>
    <w:p w:rsidR="00AE4712" w:rsidRPr="00C225D7" w:rsidRDefault="00AE4712" w:rsidP="00AE4712">
      <w:pPr>
        <w:pStyle w:val="3"/>
        <w:keepNext w:val="0"/>
        <w:keepLines w:val="0"/>
        <w:widowControl w:val="0"/>
        <w:spacing w:before="0"/>
        <w:jc w:val="center"/>
        <w:rPr>
          <w:rFonts w:ascii="Times New Roman" w:hAnsi="Times New Roman" w:cs="Times New Roman"/>
          <w:b/>
          <w:color w:val="auto"/>
        </w:rPr>
      </w:pPr>
      <w:r w:rsidRPr="00C225D7">
        <w:rPr>
          <w:rFonts w:ascii="Times New Roman" w:hAnsi="Times New Roman" w:cs="Times New Roman"/>
          <w:b/>
          <w:color w:val="auto"/>
        </w:rPr>
        <w:t>ТЕХНІЧНЕ ЗАВДАННЯ</w:t>
      </w:r>
    </w:p>
    <w:p w:rsidR="00AE4712" w:rsidRPr="00670A57" w:rsidRDefault="00AE4712" w:rsidP="00AE4712">
      <w:pPr>
        <w:pStyle w:val="11"/>
        <w:widowControl w:val="0"/>
        <w:jc w:val="center"/>
        <w:rPr>
          <w:color w:val="000000"/>
          <w:sz w:val="24"/>
          <w:szCs w:val="24"/>
          <w:lang w:val="uk-UA"/>
        </w:rPr>
      </w:pPr>
      <w:r w:rsidRPr="00C225D7">
        <w:rPr>
          <w:color w:val="000000"/>
          <w:sz w:val="24"/>
          <w:szCs w:val="24"/>
          <w:lang w:val="uk-UA"/>
        </w:rPr>
        <w:t>по предмету закупівлі:</w:t>
      </w:r>
      <w:r w:rsidRPr="00C225D7">
        <w:rPr>
          <w:rFonts w:eastAsia="Calibri"/>
          <w:lang w:val="uk-UA" w:eastAsia="en-US"/>
        </w:rPr>
        <w:t xml:space="preserve"> </w:t>
      </w:r>
      <w:r w:rsidRPr="00C225D7">
        <w:rPr>
          <w:rFonts w:eastAsia="Calibri"/>
          <w:sz w:val="24"/>
          <w:szCs w:val="24"/>
          <w:lang w:val="uk-UA" w:eastAsia="en-US"/>
        </w:rPr>
        <w:t xml:space="preserve">Послуги із проведення державної інвентаризації </w:t>
      </w:r>
      <w:r w:rsidR="00EE2FF9" w:rsidRPr="00670A57">
        <w:rPr>
          <w:rFonts w:eastAsia="Calibri"/>
          <w:sz w:val="24"/>
          <w:szCs w:val="24"/>
          <w:lang w:val="uk-UA" w:eastAsia="en-US"/>
        </w:rPr>
        <w:t xml:space="preserve">земель </w:t>
      </w:r>
      <w:r w:rsidR="00C4607E" w:rsidRPr="00670A57">
        <w:rPr>
          <w:rFonts w:eastAsia="Calibri"/>
          <w:sz w:val="24"/>
          <w:szCs w:val="24"/>
          <w:lang w:val="uk-UA" w:eastAsia="en-US"/>
        </w:rPr>
        <w:t>лісогосподарського призначення і земель природно</w:t>
      </w:r>
      <w:r w:rsidR="00ED7C19" w:rsidRPr="00670A57">
        <w:rPr>
          <w:rFonts w:eastAsia="Calibri"/>
          <w:sz w:val="24"/>
          <w:szCs w:val="24"/>
          <w:lang w:val="uk-UA" w:eastAsia="en-US"/>
        </w:rPr>
        <w:t>-</w:t>
      </w:r>
      <w:r w:rsidR="00C4607E" w:rsidRPr="00670A57">
        <w:rPr>
          <w:rFonts w:eastAsia="Calibri"/>
          <w:sz w:val="24"/>
          <w:szCs w:val="24"/>
          <w:lang w:val="uk-UA" w:eastAsia="en-US"/>
        </w:rPr>
        <w:t>заповідного фонду</w:t>
      </w:r>
      <w:r w:rsidR="00AF7CDD" w:rsidRPr="00670A57">
        <w:rPr>
          <w:rFonts w:eastAsia="Calibri"/>
          <w:sz w:val="24"/>
          <w:szCs w:val="24"/>
          <w:lang w:val="uk-UA" w:eastAsia="en-US"/>
        </w:rPr>
        <w:t xml:space="preserve"> </w:t>
      </w:r>
      <w:r w:rsidR="00AF7CDD" w:rsidRPr="00670A57">
        <w:rPr>
          <w:rFonts w:eastAsia="Calibri"/>
          <w:sz w:val="24"/>
          <w:szCs w:val="24"/>
          <w:lang w:eastAsia="en-US"/>
        </w:rPr>
        <w:t xml:space="preserve">та </w:t>
      </w:r>
      <w:proofErr w:type="spellStart"/>
      <w:r w:rsidR="00AF7CDD" w:rsidRPr="00670A57">
        <w:rPr>
          <w:rFonts w:eastAsia="Calibri"/>
          <w:sz w:val="24"/>
          <w:szCs w:val="24"/>
          <w:lang w:eastAsia="en-US"/>
        </w:rPr>
        <w:t>іншого</w:t>
      </w:r>
      <w:proofErr w:type="spellEnd"/>
      <w:r w:rsidR="00AF7CDD" w:rsidRPr="00670A57">
        <w:rPr>
          <w:rFonts w:eastAsia="Calibri"/>
          <w:sz w:val="24"/>
          <w:szCs w:val="24"/>
          <w:lang w:eastAsia="en-US"/>
        </w:rPr>
        <w:t xml:space="preserve"> </w:t>
      </w:r>
      <w:proofErr w:type="spellStart"/>
      <w:r w:rsidR="00AF7CDD" w:rsidRPr="00670A57">
        <w:rPr>
          <w:rFonts w:eastAsia="Calibri"/>
          <w:sz w:val="24"/>
          <w:szCs w:val="24"/>
          <w:lang w:eastAsia="en-US"/>
        </w:rPr>
        <w:t>природоохоронного</w:t>
      </w:r>
      <w:proofErr w:type="spellEnd"/>
      <w:r w:rsidR="00AF7CDD" w:rsidRPr="00670A57">
        <w:rPr>
          <w:rFonts w:eastAsia="Calibri"/>
          <w:sz w:val="24"/>
          <w:szCs w:val="24"/>
          <w:lang w:eastAsia="en-US"/>
        </w:rPr>
        <w:t xml:space="preserve"> </w:t>
      </w:r>
      <w:proofErr w:type="spellStart"/>
      <w:r w:rsidR="00AF7CDD" w:rsidRPr="00670A57">
        <w:rPr>
          <w:rFonts w:eastAsia="Calibri"/>
          <w:sz w:val="24"/>
          <w:szCs w:val="24"/>
          <w:lang w:eastAsia="en-US"/>
        </w:rPr>
        <w:t>призначення</w:t>
      </w:r>
      <w:proofErr w:type="spellEnd"/>
      <w:r w:rsidR="00AF7CDD" w:rsidRPr="00670A57">
        <w:rPr>
          <w:rFonts w:eastAsia="Calibri"/>
          <w:sz w:val="24"/>
          <w:szCs w:val="24"/>
          <w:lang w:eastAsia="en-US"/>
        </w:rPr>
        <w:t xml:space="preserve"> </w:t>
      </w:r>
      <w:r w:rsidRPr="00670A57">
        <w:rPr>
          <w:rFonts w:eastAsia="Calibri"/>
          <w:sz w:val="24"/>
          <w:szCs w:val="24"/>
          <w:lang w:val="uk-UA" w:eastAsia="en-US"/>
        </w:rPr>
        <w:t xml:space="preserve"> державної форми власності на території Сумської області</w:t>
      </w:r>
      <w:r w:rsidRPr="00670A57">
        <w:rPr>
          <w:color w:val="000000"/>
          <w:sz w:val="24"/>
          <w:szCs w:val="24"/>
          <w:lang w:val="uk-UA"/>
        </w:rPr>
        <w:t>,</w:t>
      </w:r>
      <w:r w:rsidRPr="00670A57">
        <w:rPr>
          <w:sz w:val="24"/>
          <w:szCs w:val="24"/>
          <w:lang w:val="uk-UA"/>
        </w:rPr>
        <w:t xml:space="preserve"> код ДК 021:2015 –71350000-6 – Науково технічні послуги в галузі інженерії </w:t>
      </w:r>
      <w:r w:rsidRPr="00670A57">
        <w:rPr>
          <w:color w:val="000000"/>
          <w:sz w:val="24"/>
          <w:szCs w:val="24"/>
          <w:lang w:val="uk-UA"/>
        </w:rPr>
        <w:t>(далі – «послуги»)</w:t>
      </w:r>
    </w:p>
    <w:p w:rsidR="00AE4712" w:rsidRPr="00670A57" w:rsidRDefault="00AE4712" w:rsidP="00AE4712">
      <w:pPr>
        <w:widowControl w:val="0"/>
        <w:ind w:firstLine="567"/>
        <w:jc w:val="both"/>
        <w:rPr>
          <w:b/>
          <w:bCs/>
        </w:rPr>
      </w:pPr>
    </w:p>
    <w:p w:rsidR="00AE4712" w:rsidRPr="00C225D7" w:rsidRDefault="00AE4712" w:rsidP="00AE4712">
      <w:pPr>
        <w:pStyle w:val="a3"/>
        <w:tabs>
          <w:tab w:val="left" w:pos="925"/>
        </w:tabs>
        <w:spacing w:before="120" w:after="120"/>
        <w:ind w:firstLine="499"/>
        <w:jc w:val="both"/>
      </w:pPr>
      <w:r w:rsidRPr="00670A57">
        <w:t xml:space="preserve">1. Підстава для здійснення заходу з проведення державної інвентаризації земель: Земельний кодекс України, закони України «Про землеустрій», «Про Державний земельний кадастр», наказ Державної служби України з питань геодезії, картографія та кадастру від </w:t>
      </w:r>
      <w:r w:rsidR="00D97258" w:rsidRPr="00670A57">
        <w:t>19</w:t>
      </w:r>
      <w:r w:rsidRPr="00670A57">
        <w:t>.0</w:t>
      </w:r>
      <w:r w:rsidR="00D97258" w:rsidRPr="00670A57">
        <w:t>2</w:t>
      </w:r>
      <w:r w:rsidRPr="00670A57">
        <w:t>.202</w:t>
      </w:r>
      <w:r w:rsidR="00D97258" w:rsidRPr="00670A57">
        <w:t>4</w:t>
      </w:r>
      <w:r w:rsidRPr="00670A57">
        <w:t xml:space="preserve"> №</w:t>
      </w:r>
      <w:r w:rsidR="00D97258" w:rsidRPr="00670A57">
        <w:t>53</w:t>
      </w:r>
      <w:r w:rsidRPr="00670A57">
        <w:t xml:space="preserve"> «Про проведення держ</w:t>
      </w:r>
      <w:r w:rsidRPr="00C225D7">
        <w:t>авної інвентаризації земель у 202</w:t>
      </w:r>
      <w:r w:rsidR="00D97258" w:rsidRPr="00D97258">
        <w:t>4</w:t>
      </w:r>
      <w:r w:rsidRPr="00C225D7">
        <w:t xml:space="preserve"> році», наказ Головного управління Держгеокадастру у Сумській області </w:t>
      </w:r>
      <w:r w:rsidRPr="004972C0">
        <w:t xml:space="preserve">від </w:t>
      </w:r>
      <w:r w:rsidR="004972C0" w:rsidRPr="004972C0">
        <w:t>08</w:t>
      </w:r>
      <w:r w:rsidRPr="004972C0">
        <w:t>.0</w:t>
      </w:r>
      <w:r w:rsidR="004972C0" w:rsidRPr="004972C0">
        <w:t>3</w:t>
      </w:r>
      <w:r w:rsidRPr="004972C0">
        <w:t>.202</w:t>
      </w:r>
      <w:r w:rsidR="004972C0" w:rsidRPr="004972C0">
        <w:t>4</w:t>
      </w:r>
      <w:r w:rsidRPr="004972C0">
        <w:t xml:space="preserve"> </w:t>
      </w:r>
      <w:r w:rsidR="004972C0" w:rsidRPr="004972C0">
        <w:t xml:space="preserve">   </w:t>
      </w:r>
      <w:r w:rsidRPr="004972C0">
        <w:t xml:space="preserve">№ </w:t>
      </w:r>
      <w:r w:rsidR="004972C0" w:rsidRPr="004972C0">
        <w:t>1</w:t>
      </w:r>
      <w:r w:rsidRPr="004972C0">
        <w:t>-ІЗ «Про проведення державної інвентаризації земель»,</w:t>
      </w:r>
      <w:r w:rsidR="00BE5676" w:rsidRPr="004972C0">
        <w:t xml:space="preserve"> розпорядження Сумської </w:t>
      </w:r>
      <w:r w:rsidR="00C225D7" w:rsidRPr="004972C0">
        <w:t>обласної</w:t>
      </w:r>
      <w:r w:rsidR="00BE5676" w:rsidRPr="004972C0">
        <w:t xml:space="preserve"> державної</w:t>
      </w:r>
      <w:r w:rsidR="004972C0" w:rsidRPr="004972C0">
        <w:t xml:space="preserve"> (військової)</w:t>
      </w:r>
      <w:r w:rsidR="00BE5676" w:rsidRPr="004972C0">
        <w:t xml:space="preserve"> адміністрації від </w:t>
      </w:r>
      <w:r w:rsidR="004972C0" w:rsidRPr="004972C0">
        <w:t>05</w:t>
      </w:r>
      <w:r w:rsidR="00C225D7" w:rsidRPr="004972C0">
        <w:t>.0</w:t>
      </w:r>
      <w:r w:rsidR="004972C0" w:rsidRPr="004972C0">
        <w:t>3</w:t>
      </w:r>
      <w:r w:rsidR="00C225D7" w:rsidRPr="004972C0">
        <w:t>.202</w:t>
      </w:r>
      <w:r w:rsidR="004972C0" w:rsidRPr="004972C0">
        <w:t>4</w:t>
      </w:r>
      <w:r w:rsidR="00BE5676" w:rsidRPr="004972C0">
        <w:t xml:space="preserve"> № </w:t>
      </w:r>
      <w:r w:rsidR="004972C0" w:rsidRPr="004972C0">
        <w:t>101</w:t>
      </w:r>
      <w:r w:rsidR="00C225D7" w:rsidRPr="004972C0">
        <w:t>-ОД</w:t>
      </w:r>
      <w:r w:rsidR="00BE5676" w:rsidRPr="004972C0">
        <w:t xml:space="preserve"> </w:t>
      </w:r>
      <w:r w:rsidR="00C225D7" w:rsidRPr="004972C0">
        <w:t>«П</w:t>
      </w:r>
      <w:r w:rsidR="00BE5676" w:rsidRPr="004972C0">
        <w:t>ро проведення державної інвентаризації земель</w:t>
      </w:r>
      <w:r w:rsidR="004972C0" w:rsidRPr="004972C0">
        <w:t xml:space="preserve"> у 2024 році</w:t>
      </w:r>
      <w:r w:rsidR="00C225D7" w:rsidRPr="004972C0">
        <w:t>»</w:t>
      </w:r>
      <w:r w:rsidR="004972C0" w:rsidRPr="004972C0">
        <w:t xml:space="preserve">, розпорядження Сумської районної державної (військової) адміністрації від 06.03.2024 № 38-ОД «Про проведення державної інвентаризації земель» </w:t>
      </w:r>
      <w:r w:rsidRPr="004972C0">
        <w:t xml:space="preserve"> та інших нормативно-правових актів</w:t>
      </w:r>
      <w:r w:rsidR="00BE5676" w:rsidRPr="004972C0">
        <w:t xml:space="preserve"> в частині проведення інвентаризації земель.</w:t>
      </w:r>
    </w:p>
    <w:p w:rsidR="00AE4712" w:rsidRPr="00C225D7" w:rsidRDefault="00AE4712" w:rsidP="00AE4712">
      <w:pPr>
        <w:pStyle w:val="a3"/>
        <w:spacing w:before="120" w:after="120"/>
        <w:ind w:firstLine="499"/>
        <w:jc w:val="both"/>
      </w:pPr>
      <w:r w:rsidRPr="00C225D7">
        <w:t>2. Вихідні дані, що подаються замовником через Головне управління Держгеокадастру у Сумській області:</w:t>
      </w:r>
    </w:p>
    <w:p w:rsidR="00AE4712" w:rsidRPr="00C225D7" w:rsidRDefault="00AE4712" w:rsidP="00AE4712">
      <w:pPr>
        <w:pStyle w:val="a3"/>
        <w:spacing w:before="120" w:after="120"/>
        <w:ind w:firstLine="499"/>
        <w:jc w:val="both"/>
      </w:pPr>
      <w:r w:rsidRPr="00C225D7">
        <w:t>матеріали з Державного фонду документації із землеустрою</w:t>
      </w:r>
      <w:r w:rsidR="006673E1" w:rsidRPr="00C225D7">
        <w:t xml:space="preserve"> та оцінки земель,</w:t>
      </w:r>
      <w:r w:rsidRPr="00C225D7">
        <w:t xml:space="preserve"> в електронному вигляді (текстові та графічні матеріали документації із землеустрою , яка наявна у Державному фонді документації </w:t>
      </w:r>
      <w:r w:rsidR="006673E1" w:rsidRPr="00C225D7">
        <w:t>і</w:t>
      </w:r>
      <w:r w:rsidRPr="00C225D7">
        <w:t>з землеустрою та оцінки земель, відповідно до переліків, оприлюднених на сайті Держгеокадастру).</w:t>
      </w:r>
    </w:p>
    <w:p w:rsidR="00AE4712" w:rsidRPr="00C225D7" w:rsidRDefault="00AE4712" w:rsidP="00AE4712">
      <w:pPr>
        <w:pStyle w:val="a3"/>
        <w:spacing w:before="120" w:after="120"/>
        <w:ind w:firstLine="499"/>
        <w:jc w:val="both"/>
      </w:pPr>
      <w:r w:rsidRPr="00C225D7">
        <w:t xml:space="preserve">матеріали лісовпорядкування, проекти створення територій та об’єктів природно-заповідного фонду, схеми формування </w:t>
      </w:r>
      <w:proofErr w:type="spellStart"/>
      <w:r w:rsidRPr="00C225D7">
        <w:t>екомережі</w:t>
      </w:r>
      <w:proofErr w:type="spellEnd"/>
      <w:r w:rsidRPr="00C225D7">
        <w:t xml:space="preserve">, програми у сфері формування, збереження та використання </w:t>
      </w:r>
      <w:proofErr w:type="spellStart"/>
      <w:r w:rsidRPr="00C225D7">
        <w:t>екомережі</w:t>
      </w:r>
      <w:proofErr w:type="spellEnd"/>
      <w:r w:rsidRPr="00C225D7">
        <w:t xml:space="preserve"> (у разі їх наявності).</w:t>
      </w:r>
    </w:p>
    <w:p w:rsidR="00AE4712" w:rsidRPr="00C225D7" w:rsidRDefault="00AE4712" w:rsidP="00AE4712">
      <w:pPr>
        <w:pStyle w:val="a3"/>
        <w:spacing w:before="120" w:after="120"/>
        <w:ind w:firstLine="499"/>
        <w:jc w:val="both"/>
      </w:pPr>
      <w:r w:rsidRPr="00C225D7">
        <w:t>Усі вихідні дані надаються протягом десяти робочих днів з дня реєстрації звернення виконавця.</w:t>
      </w:r>
    </w:p>
    <w:p w:rsidR="00AE4712" w:rsidRPr="00C225D7" w:rsidRDefault="00AE4712" w:rsidP="00AE4712">
      <w:pPr>
        <w:pStyle w:val="a3"/>
        <w:spacing w:before="120" w:after="120"/>
        <w:ind w:firstLine="499"/>
        <w:jc w:val="both"/>
      </w:pPr>
      <w:r w:rsidRPr="00C225D7">
        <w:t>У зверненні виконавця, в частині отримання матеріалів з Державного фонду документації із землеустрою</w:t>
      </w:r>
      <w:r w:rsidR="006673E1" w:rsidRPr="00C225D7">
        <w:t xml:space="preserve"> та оцінки земель</w:t>
      </w:r>
      <w:r w:rsidRPr="00C225D7">
        <w:t xml:space="preserve"> в електронному вигляді, обов’язково зазначаються обґрунтування необхідності таких матеріалів, код документації із землеустрою та її назва. </w:t>
      </w:r>
    </w:p>
    <w:p w:rsidR="00AE4712" w:rsidRPr="00C225D7" w:rsidRDefault="00AE4712" w:rsidP="00AE4712">
      <w:pPr>
        <w:pStyle w:val="a3"/>
        <w:spacing w:before="120" w:after="120"/>
        <w:ind w:firstLine="499"/>
        <w:jc w:val="both"/>
      </w:pPr>
      <w:r w:rsidRPr="00C225D7">
        <w:t xml:space="preserve">У разі відсутності даних або їх частини, виконавцеві протягом п’яти робочих днів з дня реєстрації звернення надається інформація про відсутність вихідних даних або їх частини. </w:t>
      </w:r>
    </w:p>
    <w:p w:rsidR="00AE4712" w:rsidRPr="00C225D7" w:rsidRDefault="00AE4712" w:rsidP="00AE4712">
      <w:pPr>
        <w:pStyle w:val="a3"/>
        <w:spacing w:before="120" w:after="120"/>
        <w:ind w:firstLine="499"/>
        <w:jc w:val="both"/>
      </w:pPr>
      <w:r w:rsidRPr="00C225D7">
        <w:t xml:space="preserve">Забороняється використання отриманих матеріалів після завершення заходу з проведення державної інвентаризації земель та передачу отриманих матеріалів третім особам. </w:t>
      </w:r>
    </w:p>
    <w:p w:rsidR="00AE4712" w:rsidRPr="00C225D7" w:rsidRDefault="006673E1" w:rsidP="00AE4712">
      <w:pPr>
        <w:pStyle w:val="a3"/>
        <w:spacing w:before="120" w:after="120"/>
        <w:ind w:left="567"/>
        <w:jc w:val="both"/>
      </w:pPr>
      <w:r w:rsidRPr="00C225D7">
        <w:t xml:space="preserve">3. </w:t>
      </w:r>
      <w:r w:rsidR="00AE4712" w:rsidRPr="00C225D7">
        <w:t>Вимоги до  проведення державної інвентаризації земель.</w:t>
      </w:r>
    </w:p>
    <w:p w:rsidR="00D21FE2" w:rsidRPr="00FA1D7B" w:rsidRDefault="00AE4712" w:rsidP="00D21FE2">
      <w:pPr>
        <w:pStyle w:val="a3"/>
        <w:spacing w:before="120" w:after="120"/>
        <w:ind w:firstLine="567"/>
        <w:jc w:val="both"/>
      </w:pPr>
      <w:r w:rsidRPr="00C225D7">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w:t>
      </w:r>
      <w:r w:rsidRPr="00C225D7">
        <w:lastRenderedPageBreak/>
        <w:t>земельний кадастр», Порядку проведення інвентаризації земель, затвердженого постановою Кабінету Міністрів України від 5 червня 2019 р. № 476</w:t>
      </w:r>
      <w:r w:rsidR="002A0B0F" w:rsidRPr="00C225D7">
        <w:t xml:space="preserve">. </w:t>
      </w:r>
    </w:p>
    <w:p w:rsidR="00D97258" w:rsidRPr="00670A57" w:rsidRDefault="00D97258" w:rsidP="00D21FE2">
      <w:pPr>
        <w:pStyle w:val="a3"/>
        <w:spacing w:before="120" w:after="120"/>
        <w:ind w:firstLine="567"/>
        <w:jc w:val="both"/>
      </w:pPr>
      <w:r w:rsidRPr="00670A57">
        <w:t>Виконавець відповідно до внутрішнього розпорядчого документа</w:t>
      </w:r>
      <w:r w:rsidR="004F6AF9" w:rsidRPr="00670A57">
        <w:t xml:space="preserve">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rsidR="004F6AF9" w:rsidRPr="00670A57" w:rsidRDefault="004F6AF9" w:rsidP="00D21FE2">
      <w:pPr>
        <w:pStyle w:val="a3"/>
        <w:spacing w:before="120" w:after="120"/>
        <w:ind w:firstLine="567"/>
        <w:jc w:val="both"/>
      </w:pPr>
      <w:r w:rsidRPr="00670A57">
        <w:t>Виконавець на сай</w:t>
      </w:r>
      <w:r w:rsidR="00165894" w:rsidRPr="00670A57">
        <w:t>т</w:t>
      </w:r>
      <w:r w:rsidRPr="00670A57">
        <w:t xml:space="preserve">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 </w:t>
      </w:r>
    </w:p>
    <w:p w:rsidR="00AE4712" w:rsidRPr="00670A57" w:rsidRDefault="00AE4712" w:rsidP="00AE4712">
      <w:pPr>
        <w:pStyle w:val="a3"/>
        <w:spacing w:before="120" w:after="120"/>
        <w:ind w:firstLine="499"/>
        <w:jc w:val="both"/>
        <w:rPr>
          <w:rStyle w:val="rvts9"/>
        </w:rPr>
      </w:pPr>
      <w:r w:rsidRPr="00670A57">
        <w:rPr>
          <w:rStyle w:val="rvts9"/>
        </w:rPr>
        <w:t xml:space="preserve">Державній інвентаризації земель на території Сумської </w:t>
      </w:r>
      <w:r w:rsidRPr="00670A57">
        <w:t>області України п</w:t>
      </w:r>
      <w:r w:rsidRPr="00670A57">
        <w:rPr>
          <w:rStyle w:val="rvts9"/>
        </w:rPr>
        <w:t xml:space="preserve">ідлягають лише несформовані земельні ділянки  державної власності та земельні ділянки державної власності, відомості про які відсутні у Державному земельному кадастрі </w:t>
      </w:r>
      <w:proofErr w:type="spellStart"/>
      <w:r w:rsidR="00326301" w:rsidRPr="00670A57">
        <w:rPr>
          <w:rStyle w:val="rvts9"/>
        </w:rPr>
        <w:t>орієновною</w:t>
      </w:r>
      <w:proofErr w:type="spellEnd"/>
      <w:r w:rsidR="00326301" w:rsidRPr="00670A57">
        <w:rPr>
          <w:rStyle w:val="rvts9"/>
        </w:rPr>
        <w:t xml:space="preserve"> </w:t>
      </w:r>
      <w:r w:rsidRPr="00670A57">
        <w:rPr>
          <w:rStyle w:val="rvts9"/>
        </w:rPr>
        <w:t xml:space="preserve">загальною площею </w:t>
      </w:r>
      <w:r w:rsidR="00C4607E" w:rsidRPr="00670A57">
        <w:rPr>
          <w:rStyle w:val="rvts9"/>
        </w:rPr>
        <w:t>4000</w:t>
      </w:r>
      <w:r w:rsidRPr="00670A57">
        <w:rPr>
          <w:rStyle w:val="rvts9"/>
        </w:rPr>
        <w:t>.00 га</w:t>
      </w:r>
      <w:r w:rsidR="004F6AF9" w:rsidRPr="00670A57">
        <w:rPr>
          <w:rStyle w:val="rvts9"/>
        </w:rPr>
        <w:t xml:space="preserve">, орієнтовна кількість земельних ділянок  </w:t>
      </w:r>
      <w:r w:rsidR="00A76FBD" w:rsidRPr="00670A57">
        <w:rPr>
          <w:rStyle w:val="rvts9"/>
        </w:rPr>
        <w:t>70</w:t>
      </w:r>
      <w:r w:rsidR="004F6AF9" w:rsidRPr="00670A57">
        <w:rPr>
          <w:rStyle w:val="rvts9"/>
        </w:rPr>
        <w:t xml:space="preserve"> шт., на території </w:t>
      </w:r>
      <w:r w:rsidR="00A76FBD" w:rsidRPr="00670A57">
        <w:rPr>
          <w:rStyle w:val="rvts9"/>
        </w:rPr>
        <w:t xml:space="preserve">Сумської міської, </w:t>
      </w:r>
      <w:proofErr w:type="spellStart"/>
      <w:r w:rsidR="00A76FBD" w:rsidRPr="00670A57">
        <w:rPr>
          <w:rStyle w:val="rvts9"/>
        </w:rPr>
        <w:t>Хотінської</w:t>
      </w:r>
      <w:proofErr w:type="spellEnd"/>
      <w:r w:rsidR="00A76FBD" w:rsidRPr="00670A57">
        <w:rPr>
          <w:rStyle w:val="rvts9"/>
        </w:rPr>
        <w:t xml:space="preserve"> селищної, </w:t>
      </w:r>
      <w:proofErr w:type="spellStart"/>
      <w:r w:rsidR="00A76FBD" w:rsidRPr="00670A57">
        <w:rPr>
          <w:rStyle w:val="rvts9"/>
        </w:rPr>
        <w:t>Садівської</w:t>
      </w:r>
      <w:proofErr w:type="spellEnd"/>
      <w:r w:rsidR="00A76FBD" w:rsidRPr="00670A57">
        <w:rPr>
          <w:rStyle w:val="rvts9"/>
        </w:rPr>
        <w:t xml:space="preserve"> сільської, </w:t>
      </w:r>
      <w:proofErr w:type="spellStart"/>
      <w:r w:rsidR="00A76FBD" w:rsidRPr="00670A57">
        <w:rPr>
          <w:rStyle w:val="rvts9"/>
        </w:rPr>
        <w:t>Нижньосироватської</w:t>
      </w:r>
      <w:proofErr w:type="spellEnd"/>
      <w:r w:rsidR="00A76FBD" w:rsidRPr="00670A57">
        <w:rPr>
          <w:rStyle w:val="rvts9"/>
        </w:rPr>
        <w:t xml:space="preserve"> сільської, </w:t>
      </w:r>
      <w:proofErr w:type="spellStart"/>
      <w:r w:rsidR="00A76FBD" w:rsidRPr="00670A57">
        <w:rPr>
          <w:rStyle w:val="rvts9"/>
        </w:rPr>
        <w:t>Бездрицької</w:t>
      </w:r>
      <w:proofErr w:type="spellEnd"/>
      <w:r w:rsidR="00A76FBD" w:rsidRPr="00670A57">
        <w:rPr>
          <w:rStyle w:val="rvts9"/>
        </w:rPr>
        <w:t xml:space="preserve"> сільської, </w:t>
      </w:r>
      <w:proofErr w:type="spellStart"/>
      <w:r w:rsidR="00A76FBD" w:rsidRPr="00670A57">
        <w:rPr>
          <w:rStyle w:val="rvts9"/>
        </w:rPr>
        <w:t>Юнаківської</w:t>
      </w:r>
      <w:proofErr w:type="spellEnd"/>
      <w:r w:rsidR="00A76FBD" w:rsidRPr="00670A57">
        <w:rPr>
          <w:rStyle w:val="rvts9"/>
        </w:rPr>
        <w:t xml:space="preserve"> сільської, </w:t>
      </w:r>
      <w:proofErr w:type="spellStart"/>
      <w:r w:rsidR="00A76FBD" w:rsidRPr="00670A57">
        <w:rPr>
          <w:rStyle w:val="rvts9"/>
        </w:rPr>
        <w:t>Краснопільської</w:t>
      </w:r>
      <w:proofErr w:type="spellEnd"/>
      <w:r w:rsidR="00A76FBD" w:rsidRPr="00670A57">
        <w:rPr>
          <w:rStyle w:val="rvts9"/>
        </w:rPr>
        <w:t xml:space="preserve"> селищної</w:t>
      </w:r>
      <w:r w:rsidR="004F6AF9" w:rsidRPr="00670A57">
        <w:rPr>
          <w:rStyle w:val="rvts9"/>
        </w:rPr>
        <w:t xml:space="preserve"> територіальних громад</w:t>
      </w:r>
      <w:r w:rsidR="00A76FBD" w:rsidRPr="00670A57">
        <w:rPr>
          <w:rStyle w:val="rvts9"/>
        </w:rPr>
        <w:t xml:space="preserve"> Сумського району</w:t>
      </w:r>
      <w:r w:rsidR="004F6AF9" w:rsidRPr="00670A57">
        <w:rPr>
          <w:rStyle w:val="rvts9"/>
        </w:rPr>
        <w:t xml:space="preserve">, </w:t>
      </w:r>
      <w:r w:rsidR="00A76FBD" w:rsidRPr="00670A57">
        <w:rPr>
          <w:rStyle w:val="rvts9"/>
        </w:rPr>
        <w:t xml:space="preserve">Попівської сільської територіальної громади Конотопського району, </w:t>
      </w:r>
      <w:proofErr w:type="spellStart"/>
      <w:r w:rsidR="00A76FBD" w:rsidRPr="00670A57">
        <w:rPr>
          <w:rStyle w:val="rvts9"/>
        </w:rPr>
        <w:t>Кириківської</w:t>
      </w:r>
      <w:proofErr w:type="spellEnd"/>
      <w:r w:rsidR="00A76FBD" w:rsidRPr="00670A57">
        <w:rPr>
          <w:rStyle w:val="rvts9"/>
        </w:rPr>
        <w:t xml:space="preserve"> селищної, Тростянецької міської територіальних громад Охтирського району</w:t>
      </w:r>
      <w:r w:rsidR="004F6AF9" w:rsidRPr="00670A57">
        <w:rPr>
          <w:rStyle w:val="rvts9"/>
        </w:rPr>
        <w:t xml:space="preserve"> Сумської області.</w:t>
      </w:r>
    </w:p>
    <w:p w:rsidR="00165894" w:rsidRPr="00670A57" w:rsidRDefault="00165894" w:rsidP="00AE4712">
      <w:pPr>
        <w:pStyle w:val="a3"/>
        <w:spacing w:before="120" w:after="120"/>
        <w:ind w:firstLine="499"/>
        <w:jc w:val="both"/>
        <w:rPr>
          <w:rStyle w:val="rvts9"/>
        </w:rPr>
      </w:pPr>
      <w:r w:rsidRPr="00670A57">
        <w:rPr>
          <w:rStyle w:val="rvts9"/>
        </w:rPr>
        <w:t>Кількість земельних ділянок та площа можуть уточнюватися за результатами проведення обстежу вальних, топографо-геодезичних</w:t>
      </w:r>
      <w:r w:rsidR="007C22A8" w:rsidRPr="00670A57">
        <w:rPr>
          <w:rStyle w:val="rvts9"/>
        </w:rPr>
        <w:t xml:space="preserve"> та проектно-вишукувальних робіт, про що обов’язково зазначається у звіті про виконані роботи.</w:t>
      </w:r>
    </w:p>
    <w:p w:rsidR="00AE4712" w:rsidRPr="00670A57" w:rsidRDefault="00AE4712" w:rsidP="00AE4712">
      <w:pPr>
        <w:pStyle w:val="a3"/>
        <w:spacing w:before="120" w:after="120"/>
        <w:ind w:firstLine="499"/>
        <w:jc w:val="both"/>
      </w:pPr>
      <w:r w:rsidRPr="00670A57">
        <w:t xml:space="preserve">Строк завершення державної інвентаризації земель не повинен перевищувати </w:t>
      </w:r>
      <w:r w:rsidR="004C1085" w:rsidRPr="00670A57">
        <w:t xml:space="preserve">6 </w:t>
      </w:r>
      <w:r w:rsidRPr="00670A57">
        <w:t xml:space="preserve"> місяців із дати укладення договору.</w:t>
      </w:r>
    </w:p>
    <w:p w:rsidR="00AE4712" w:rsidRPr="00670A57" w:rsidRDefault="00AE4712" w:rsidP="00AE4712">
      <w:pPr>
        <w:pStyle w:val="a3"/>
        <w:spacing w:before="120" w:after="120"/>
        <w:ind w:firstLine="499"/>
        <w:jc w:val="both"/>
        <w:rPr>
          <w:rStyle w:val="rvts9"/>
        </w:rPr>
      </w:pPr>
      <w:r w:rsidRPr="00670A57">
        <w:rPr>
          <w:rStyle w:val="rvts9"/>
        </w:rPr>
        <w:t xml:space="preserve">За результатами здійснення заходу з проведення </w:t>
      </w:r>
      <w:r w:rsidRPr="00670A57">
        <w:t>державної інвентаризації земель</w:t>
      </w:r>
      <w:r w:rsidRPr="00670A57">
        <w:rPr>
          <w:rStyle w:val="rvts9"/>
        </w:rPr>
        <w:t xml:space="preserve"> </w:t>
      </w:r>
      <w:r w:rsidRPr="00670A57">
        <w:rPr>
          <w:b/>
        </w:rPr>
        <w:t xml:space="preserve"> </w:t>
      </w:r>
      <w:r w:rsidRPr="00670A57">
        <w:rPr>
          <w:rStyle w:val="rvts9"/>
        </w:rPr>
        <w:t>земельні ділянки мають бути сформовані та відомості про них внесені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AE4712" w:rsidRPr="00670A57" w:rsidRDefault="00AE4712" w:rsidP="00AE4712">
      <w:pPr>
        <w:pStyle w:val="a3"/>
        <w:spacing w:before="120" w:after="120"/>
        <w:ind w:firstLine="499"/>
        <w:jc w:val="both"/>
        <w:rPr>
          <w:rStyle w:val="rvts0"/>
        </w:rPr>
      </w:pPr>
      <w:r w:rsidRPr="00670A57">
        <w:t xml:space="preserve">Технічна документація </w:t>
      </w:r>
      <w:r w:rsidRPr="00670A57">
        <w:rPr>
          <w:rStyle w:val="rvts0"/>
        </w:rPr>
        <w:t>із землеустрою щодо інвентаризації земель розробляється окремо на територію кожної адміністративно-територіальної одиниці або її частини.</w:t>
      </w:r>
    </w:p>
    <w:p w:rsidR="004C1085" w:rsidRPr="00670A57" w:rsidRDefault="004C1085" w:rsidP="00AE4712">
      <w:pPr>
        <w:pStyle w:val="a3"/>
        <w:spacing w:before="120" w:after="120"/>
        <w:ind w:firstLine="499"/>
        <w:jc w:val="both"/>
      </w:pPr>
      <w:r w:rsidRPr="00670A57">
        <w:t>У пояснювальній записці до технічної документації із землеустрою щодо інвентаризації земель у разі розбіжностей у площі, яка</w:t>
      </w:r>
      <w:r w:rsidR="00FA1D7B" w:rsidRPr="00670A57">
        <w:t xml:space="preserve"> зазначена в Державному акті на право постійного користування землею, та площі, яку отримано за результатами проведеної державної інвентаризації земель, зазначити причини таких розбіжностей.</w:t>
      </w:r>
    </w:p>
    <w:p w:rsidR="00FA1D7B" w:rsidRPr="00C225D7" w:rsidRDefault="00FA1D7B" w:rsidP="00AE4712">
      <w:pPr>
        <w:pStyle w:val="a3"/>
        <w:spacing w:before="120" w:after="120"/>
        <w:ind w:firstLine="499"/>
        <w:jc w:val="both"/>
      </w:pPr>
      <w:r w:rsidRPr="00670A57">
        <w:t>Калькуляцію витрат формувати з урахуванням пункту 12 Порядку проведення інвентаризації земель, затвердженого постановою Кабінету Міністрів України від 5 червня 2019 р. №476.</w:t>
      </w:r>
    </w:p>
    <w:p w:rsidR="00AE4712" w:rsidRPr="00C225D7" w:rsidRDefault="00AE4712" w:rsidP="00AE4712">
      <w:pPr>
        <w:pStyle w:val="a3"/>
        <w:spacing w:before="120" w:after="120"/>
        <w:ind w:firstLine="499"/>
        <w:jc w:val="both"/>
      </w:pPr>
      <w:r w:rsidRPr="00C225D7">
        <w:t>4. Оплата послуг здійснюється після реєстрації земельних ділянок в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AE4712" w:rsidRPr="00C225D7" w:rsidRDefault="00AE4712" w:rsidP="00AE4712">
      <w:pPr>
        <w:pStyle w:val="a3"/>
        <w:spacing w:before="120" w:after="120"/>
        <w:ind w:firstLine="499"/>
        <w:jc w:val="both"/>
      </w:pPr>
      <w:r w:rsidRPr="00C225D7">
        <w:t xml:space="preserve">Для оплати послуг замовнику надається звіт про виконані роботи </w:t>
      </w:r>
      <w:r w:rsidR="00D8265D">
        <w:t>(</w:t>
      </w:r>
      <w:r w:rsidRPr="00C225D7">
        <w:t>з описовою частиною</w:t>
      </w:r>
      <w:r w:rsidR="00D8265D">
        <w:t>),</w:t>
      </w:r>
      <w:r w:rsidRPr="00C225D7">
        <w:t xml:space="preserve"> складений у довільній формі, акт приймання-передачі виконаних робіт разом із додатком по кожній області, які підписуються виконавцем робіт та погоджуються керівником відповідного Головного управління Держгеокадастру в області у формі згідно з додатком 1-4 до </w:t>
      </w:r>
      <w:r w:rsidR="008A2CE7" w:rsidRPr="00C225D7">
        <w:t>акта приймання передачі результатів проведення державної інвентаризації земель</w:t>
      </w:r>
      <w:r w:rsidRPr="00C225D7">
        <w:t>, а також надаються документи визначені у пункті 6 цього Технічного завдання .</w:t>
      </w:r>
    </w:p>
    <w:p w:rsidR="00AE4712" w:rsidRPr="00C225D7" w:rsidRDefault="00AE4712" w:rsidP="00AE4712">
      <w:pPr>
        <w:pStyle w:val="a3"/>
        <w:spacing w:before="120" w:after="120"/>
        <w:ind w:firstLine="499"/>
        <w:jc w:val="both"/>
        <w:rPr>
          <w:rStyle w:val="rvts9"/>
        </w:rPr>
      </w:pPr>
      <w:r w:rsidRPr="00C225D7">
        <w:rPr>
          <w:rStyle w:val="rvts9"/>
        </w:rPr>
        <w:lastRenderedPageBreak/>
        <w:t xml:space="preserve">У разі виявлення </w:t>
      </w:r>
      <w:r w:rsidR="00AD79FF">
        <w:rPr>
          <w:rStyle w:val="rvts9"/>
        </w:rPr>
        <w:t>Г</w:t>
      </w:r>
      <w:r w:rsidRPr="00C225D7">
        <w:rPr>
          <w:rStyle w:val="rvts9"/>
        </w:rPr>
        <w:t>оловним управлінням Держгеокадастру в області недоліків при здійсненні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w:t>
      </w:r>
      <w:r w:rsidRPr="00C225D7">
        <w:rPr>
          <w:rStyle w:val="rvts0"/>
        </w:rPr>
        <w:t xml:space="preserve"> електронному вигляді в форматі </w:t>
      </w:r>
      <w:r w:rsidRPr="00C225D7">
        <w:rPr>
          <w:rStyle w:val="rvts0"/>
          <w:lang w:val="en-US"/>
        </w:rPr>
        <w:t>PDF</w:t>
      </w:r>
      <w:r w:rsidR="00D8265D">
        <w:rPr>
          <w:rStyle w:val="rvts0"/>
        </w:rPr>
        <w:t>;</w:t>
      </w:r>
      <w:r w:rsidRPr="00C225D7">
        <w:rPr>
          <w:rStyle w:val="rvts0"/>
        </w:rPr>
        <w:t xml:space="preserve"> площа земельної ділянки вказаної у додатку 2 не відповідає площі земельної ділянки вказаної у відповідному витягу </w:t>
      </w:r>
      <w:r w:rsidRPr="00C225D7">
        <w:rPr>
          <w:rStyle w:val="rvts9"/>
        </w:rPr>
        <w:t>із ДЗК в</w:t>
      </w:r>
      <w:r w:rsidRPr="00C225D7">
        <w:rPr>
          <w:rStyle w:val="rvts0"/>
        </w:rPr>
        <w:t xml:space="preserve"> електронному вигляді в форматі </w:t>
      </w:r>
      <w:r w:rsidRPr="00C225D7">
        <w:rPr>
          <w:rStyle w:val="rvts0"/>
          <w:lang w:val="en-US"/>
        </w:rPr>
        <w:t>PDF</w:t>
      </w:r>
      <w:r w:rsidR="00D8265D">
        <w:rPr>
          <w:rStyle w:val="rvts0"/>
        </w:rPr>
        <w:t>;</w:t>
      </w:r>
      <w:r w:rsidRPr="00C225D7">
        <w:rPr>
          <w:rStyle w:val="rvts0"/>
        </w:rPr>
        <w:t xml:space="preserve"> відсутність інформації про інформування населення тощо)</w:t>
      </w:r>
      <w:r w:rsidRPr="00C225D7">
        <w:rPr>
          <w:rStyle w:val="rvts9"/>
        </w:rPr>
        <w:t xml:space="preserve">, керівник відповідного Головного управління Держгеокадастру в області надає обґрунтовану відмову у затвердженні акту виконаних робіт та протягом трьох робочих днів письмово повідомляє розробника про виявлені недоліки та встановлює строк щодо їх усунення. </w:t>
      </w:r>
    </w:p>
    <w:p w:rsidR="00AE4712" w:rsidRPr="00C225D7" w:rsidRDefault="00AE4712" w:rsidP="00AE4712">
      <w:pPr>
        <w:pStyle w:val="a3"/>
        <w:spacing w:before="120" w:after="0"/>
        <w:ind w:firstLine="499"/>
        <w:jc w:val="both"/>
      </w:pPr>
      <w:r w:rsidRPr="00C225D7">
        <w:t xml:space="preserve">5. Матеріали, які подаються за результатами здійснення заходу: </w:t>
      </w:r>
    </w:p>
    <w:p w:rsidR="00AE4712" w:rsidRPr="00C225D7" w:rsidRDefault="00AE4712" w:rsidP="00AE4712">
      <w:pPr>
        <w:pStyle w:val="a3"/>
        <w:spacing w:before="120" w:after="120"/>
        <w:jc w:val="both"/>
        <w:rPr>
          <w:rStyle w:val="rvts0"/>
        </w:rPr>
      </w:pPr>
      <w:r w:rsidRPr="00C225D7">
        <w:t xml:space="preserve">- погоджені та затверджені відповідно до вимог статті 186 Земельного кодексу України 1 примірник технічної документації </w:t>
      </w:r>
      <w:r w:rsidRPr="00C225D7">
        <w:rPr>
          <w:rStyle w:val="rvts0"/>
        </w:rPr>
        <w:t>із землеустрою щодо інвентаризації земель,</w:t>
      </w:r>
      <w:r w:rsidRPr="00C225D7">
        <w:t xml:space="preserve"> розроблен</w:t>
      </w:r>
      <w:r w:rsidR="009C6176">
        <w:t>ої</w:t>
      </w:r>
      <w:r w:rsidRPr="00C225D7">
        <w:t xml:space="preserve"> на території </w:t>
      </w:r>
      <w:r w:rsidRPr="00C225D7">
        <w:rPr>
          <w:rStyle w:val="rvts0"/>
        </w:rPr>
        <w:t xml:space="preserve">адміністративно-територіальної одиниці або її частини, щодо якої проводитиметься захід з державної інвентаризації земель, та 1 примірник такої документації в електронному вигляді в форматі </w:t>
      </w:r>
      <w:r w:rsidRPr="00C225D7">
        <w:rPr>
          <w:rStyle w:val="rvts0"/>
          <w:lang w:val="en-US"/>
        </w:rPr>
        <w:t>PDF</w:t>
      </w:r>
      <w:r w:rsidRPr="00C225D7">
        <w:rPr>
          <w:rStyle w:val="rvts0"/>
        </w:rPr>
        <w:t>, засвідчений за допомогою кваліфікованого електронного підпису сертифікованого інженера-землевпорядника, відповідального</w:t>
      </w:r>
      <w:r w:rsidR="005C73EF">
        <w:rPr>
          <w:rStyle w:val="rvts0"/>
        </w:rPr>
        <w:t xml:space="preserve"> за якість робіт із землеустрою;</w:t>
      </w:r>
      <w:r w:rsidRPr="00C225D7">
        <w:rPr>
          <w:rStyle w:val="rvts0"/>
        </w:rPr>
        <w:t xml:space="preserve">  </w:t>
      </w:r>
    </w:p>
    <w:p w:rsidR="00AE4712" w:rsidRPr="00C225D7" w:rsidRDefault="00AE4712" w:rsidP="004A2600">
      <w:pPr>
        <w:pStyle w:val="a3"/>
        <w:spacing w:before="120" w:after="120"/>
        <w:jc w:val="both"/>
        <w:rPr>
          <w:rStyle w:val="rvts0"/>
        </w:rPr>
      </w:pPr>
      <w:r w:rsidRPr="00C225D7">
        <w:rPr>
          <w:rStyle w:val="rvts0"/>
        </w:rPr>
        <w:t>- відомості з Державного земельного кадастру по кожній сформованій за результатами здійснення заходу з</w:t>
      </w:r>
      <w:r w:rsidRPr="00C225D7">
        <w:t xml:space="preserve"> </w:t>
      </w:r>
      <w:r w:rsidRPr="00C225D7">
        <w:rPr>
          <w:rStyle w:val="rvts9"/>
        </w:rPr>
        <w:t xml:space="preserve">проведення державної інвентаризації земель  </w:t>
      </w:r>
      <w:r w:rsidRPr="00C225D7">
        <w:rPr>
          <w:rStyle w:val="rvts0"/>
        </w:rPr>
        <w:t xml:space="preserve">земельній ділянці, у формі витягу в електронному вигляді в форматі </w:t>
      </w:r>
      <w:r w:rsidRPr="00C225D7">
        <w:rPr>
          <w:rStyle w:val="rvts0"/>
          <w:lang w:val="en-US"/>
        </w:rPr>
        <w:t>PDF</w:t>
      </w:r>
      <w:r w:rsidRPr="00C225D7">
        <w:rPr>
          <w:rStyle w:val="rvts0"/>
        </w:rPr>
        <w:t xml:space="preserve"> </w:t>
      </w:r>
      <w:r w:rsidRPr="00C225D7">
        <w:t xml:space="preserve">(окремо по земельній ділянці на території адміністративно-територіальної одиниці або її частини, назва </w:t>
      </w:r>
      <w:r w:rsidRPr="00C225D7">
        <w:rPr>
          <w:rStyle w:val="rvts0"/>
          <w:lang w:val="en-US"/>
        </w:rPr>
        <w:t>PDF</w:t>
      </w:r>
      <w:r w:rsidRPr="00C225D7">
        <w:rPr>
          <w:rStyle w:val="rvts0"/>
        </w:rPr>
        <w:t xml:space="preserve"> </w:t>
      </w:r>
      <w:proofErr w:type="spellStart"/>
      <w:r w:rsidRPr="00C225D7">
        <w:rPr>
          <w:rStyle w:val="rvts0"/>
        </w:rPr>
        <w:t>файла</w:t>
      </w:r>
      <w:proofErr w:type="spellEnd"/>
      <w:r w:rsidRPr="00C225D7">
        <w:rPr>
          <w:rStyle w:val="rvts0"/>
        </w:rPr>
        <w:t xml:space="preserve"> повинна відповідати кадастровому номеру відповідної земельної ділянки </w:t>
      </w:r>
      <w:r w:rsidRPr="00C225D7">
        <w:t>)</w:t>
      </w:r>
      <w:r w:rsidRPr="00C225D7">
        <w:rPr>
          <w:rStyle w:val="rvts0"/>
        </w:rPr>
        <w:t>.</w:t>
      </w:r>
    </w:p>
    <w:p w:rsidR="00AE4712" w:rsidRPr="00C225D7" w:rsidRDefault="00AE4712" w:rsidP="00AE4712">
      <w:pPr>
        <w:pStyle w:val="a3"/>
        <w:spacing w:before="120" w:after="120"/>
        <w:ind w:firstLine="499"/>
        <w:jc w:val="both"/>
      </w:pPr>
      <w:r w:rsidRPr="00C225D7">
        <w:t xml:space="preserve">6. Матеріали, що видаються замовникові заходу з проведення державної інвентаризації земель  за результатами його проведення на фізичних носіях (електронний вигляд): </w:t>
      </w:r>
    </w:p>
    <w:p w:rsidR="00AE4712" w:rsidRPr="00C225D7" w:rsidRDefault="00AE4712" w:rsidP="00AE4712">
      <w:pPr>
        <w:pStyle w:val="a3"/>
        <w:spacing w:before="120" w:after="120"/>
        <w:ind w:firstLine="499"/>
        <w:jc w:val="both"/>
        <w:rPr>
          <w:rStyle w:val="rvts0"/>
        </w:rPr>
      </w:pPr>
      <w:r w:rsidRPr="00C225D7">
        <w:t xml:space="preserve">примірник технічної документації </w:t>
      </w:r>
      <w:r w:rsidRPr="00C225D7">
        <w:rPr>
          <w:rStyle w:val="rvts0"/>
        </w:rPr>
        <w:t xml:space="preserve">із землеустрою щодо інвентаризації земель </w:t>
      </w:r>
      <w:r w:rsidRPr="00C225D7">
        <w:t>в  електронному вигляді (</w:t>
      </w:r>
      <w:r w:rsidRPr="00C225D7">
        <w:rPr>
          <w:rStyle w:val="rvts0"/>
        </w:rPr>
        <w:t xml:space="preserve">форматі </w:t>
      </w:r>
      <w:r w:rsidRPr="00C225D7">
        <w:rPr>
          <w:rStyle w:val="rvts0"/>
          <w:lang w:val="en-US"/>
        </w:rPr>
        <w:t>PDF</w:t>
      </w:r>
      <w:r w:rsidRPr="00C225D7">
        <w:rPr>
          <w:rStyle w:val="rvts0"/>
        </w:rPr>
        <w:t>),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w:t>
      </w:r>
      <w:r w:rsidRPr="00C225D7">
        <w:t xml:space="preserve"> </w:t>
      </w:r>
      <w:r w:rsidRPr="00C225D7">
        <w:rPr>
          <w:rStyle w:val="rvts0"/>
        </w:rPr>
        <w:t>передається замовникові в особі відповідного Головного управління Держгеокадастру в області;</w:t>
      </w:r>
    </w:p>
    <w:p w:rsidR="00AE4712" w:rsidRPr="00C225D7" w:rsidRDefault="00AE4712" w:rsidP="00AE4712">
      <w:pPr>
        <w:pStyle w:val="a3"/>
        <w:spacing w:before="120" w:after="120"/>
        <w:ind w:firstLine="499"/>
        <w:jc w:val="both"/>
        <w:rPr>
          <w:rStyle w:val="rvts0"/>
        </w:rPr>
      </w:pPr>
      <w:r w:rsidRPr="00C225D7">
        <w:rPr>
          <w:rStyle w:val="rvts0"/>
        </w:rPr>
        <w:t>відомості з Державного земельного кадастру по кожній сформованій за результатами здійснення заходу з</w:t>
      </w:r>
      <w:r w:rsidRPr="00C225D7">
        <w:t xml:space="preserve"> </w:t>
      </w:r>
      <w:r w:rsidRPr="00C225D7">
        <w:rPr>
          <w:rStyle w:val="rvts9"/>
        </w:rPr>
        <w:t>інвентаризації земель державної власності</w:t>
      </w:r>
      <w:r w:rsidRPr="00C225D7">
        <w:rPr>
          <w:rStyle w:val="rvts0"/>
        </w:rPr>
        <w:t xml:space="preserve"> земельній ділянці, у формі витягу в електронному вигляді в форматі </w:t>
      </w:r>
      <w:r w:rsidRPr="00C225D7">
        <w:rPr>
          <w:rStyle w:val="rvts0"/>
          <w:lang w:val="en-US"/>
        </w:rPr>
        <w:t>PDF</w:t>
      </w:r>
      <w:r w:rsidRPr="00C225D7">
        <w:rPr>
          <w:rStyle w:val="rvts0"/>
        </w:rPr>
        <w:t xml:space="preserve"> </w:t>
      </w:r>
      <w:r w:rsidRPr="00C225D7">
        <w:t xml:space="preserve">(окремо по земельній ділянці на території адміністративно-територіальної одиниці або її частини; назва PDF </w:t>
      </w:r>
      <w:proofErr w:type="spellStart"/>
      <w:r w:rsidRPr="00C225D7">
        <w:t>файла</w:t>
      </w:r>
      <w:proofErr w:type="spellEnd"/>
      <w:r w:rsidRPr="00C225D7">
        <w:t xml:space="preserve"> повинна відповідати кадастровому номеру відповідної земельної ділянки)</w:t>
      </w:r>
      <w:r w:rsidRPr="00C225D7">
        <w:rPr>
          <w:rStyle w:val="rvts0"/>
        </w:rPr>
        <w:t>.</w:t>
      </w:r>
    </w:p>
    <w:p w:rsidR="00AE4712" w:rsidRPr="00C225D7" w:rsidRDefault="00AE4712" w:rsidP="00AE4712">
      <w:pPr>
        <w:pStyle w:val="a3"/>
        <w:spacing w:before="120" w:after="120"/>
        <w:ind w:firstLine="499"/>
        <w:jc w:val="both"/>
        <w:rPr>
          <w:rStyle w:val="rvts0"/>
        </w:rPr>
      </w:pPr>
      <w:r w:rsidRPr="00C225D7">
        <w:rPr>
          <w:rStyle w:val="rvts0"/>
        </w:rPr>
        <w:t>7.</w:t>
      </w:r>
      <w:r w:rsidR="004A2600" w:rsidRPr="00C225D7">
        <w:rPr>
          <w:rStyle w:val="rvts0"/>
        </w:rPr>
        <w:t xml:space="preserve"> </w:t>
      </w:r>
      <w:r w:rsidRPr="00C225D7">
        <w:rPr>
          <w:rStyle w:val="rvts0"/>
        </w:rPr>
        <w:t>Відповідно до статті 32 Закону України «Про землеустрій» сертифіковані інженери</w:t>
      </w:r>
      <w:r w:rsidR="004A2600" w:rsidRPr="00C225D7">
        <w:rPr>
          <w:rStyle w:val="rvts0"/>
        </w:rPr>
        <w:t>-</w:t>
      </w:r>
      <w:r w:rsidRPr="00C225D7">
        <w:rPr>
          <w:rStyle w:val="rvts0"/>
        </w:rPr>
        <w:t>землевпорядники, які відповідають за якість робіт із землеустрою,</w:t>
      </w:r>
      <w:r w:rsidR="004A2600" w:rsidRPr="00C225D7">
        <w:rPr>
          <w:rStyle w:val="rvts0"/>
        </w:rPr>
        <w:t xml:space="preserve"> </w:t>
      </w:r>
      <w:r w:rsidRPr="00C225D7">
        <w:rPr>
          <w:rStyle w:val="rvts0"/>
        </w:rPr>
        <w:t>зобов’язані без</w:t>
      </w:r>
      <w:r w:rsidR="0038285E">
        <w:rPr>
          <w:rStyle w:val="rvts0"/>
        </w:rPr>
        <w:t>о</w:t>
      </w:r>
      <w:r w:rsidRPr="00C225D7">
        <w:rPr>
          <w:rStyle w:val="rvts0"/>
        </w:rPr>
        <w:t xml:space="preserve">платно передавати документацію із землеустрою та оцінки земель до Державного фонду документації із </w:t>
      </w:r>
      <w:r w:rsidR="004A2600" w:rsidRPr="00C225D7">
        <w:rPr>
          <w:rStyle w:val="rvts0"/>
        </w:rPr>
        <w:t xml:space="preserve">землеустрою та оцінки земель в електронному вигляді у місячний строк після її </w:t>
      </w:r>
      <w:r w:rsidRPr="00C225D7">
        <w:rPr>
          <w:rStyle w:val="rvts0"/>
        </w:rPr>
        <w:t>затвердження. Порядок передачі такої документації визначається Положенням про Державний фонд документації із землеустрою та оцінки земель.</w:t>
      </w:r>
    </w:p>
    <w:p w:rsidR="00AE4712" w:rsidRPr="00C225D7" w:rsidRDefault="00AE4712" w:rsidP="00AE4712">
      <w:pPr>
        <w:pStyle w:val="a3"/>
        <w:tabs>
          <w:tab w:val="left" w:pos="482"/>
        </w:tabs>
        <w:spacing w:before="120" w:after="120"/>
        <w:ind w:firstLine="499"/>
        <w:jc w:val="both"/>
        <w:rPr>
          <w:rStyle w:val="rvts0"/>
        </w:rPr>
      </w:pPr>
      <w:r w:rsidRPr="00C225D7">
        <w:t xml:space="preserve">Один примірник технічної документації </w:t>
      </w:r>
      <w:r w:rsidRPr="00C225D7">
        <w:rPr>
          <w:rStyle w:val="rvts0"/>
        </w:rPr>
        <w:t>із землеустрою щодо інвентаризації земель зберігається у розробника.</w:t>
      </w:r>
    </w:p>
    <w:p w:rsidR="00EE1941" w:rsidRDefault="00AE4712" w:rsidP="00670A57">
      <w:pPr>
        <w:pStyle w:val="a3"/>
        <w:tabs>
          <w:tab w:val="left" w:pos="482"/>
        </w:tabs>
        <w:spacing w:before="120" w:after="120"/>
        <w:ind w:firstLine="499"/>
        <w:jc w:val="both"/>
      </w:pPr>
      <w:r w:rsidRPr="00C225D7">
        <w:rPr>
          <w:rStyle w:val="rvts0"/>
        </w:rPr>
        <w:t>8. Матеріали технічної документації із землеустрою щодо інвентаризації земель повинні відповідати таким вимогам:</w:t>
      </w:r>
      <w:r w:rsidR="0038285E">
        <w:rPr>
          <w:rStyle w:val="rvts0"/>
        </w:rPr>
        <w:t xml:space="preserve"> </w:t>
      </w:r>
      <w:r w:rsidRPr="00C225D7">
        <w:t>формат зображення - кольоровий;</w:t>
      </w:r>
      <w:bookmarkStart w:id="2" w:name="n21"/>
      <w:bookmarkEnd w:id="2"/>
      <w:r w:rsidRPr="00C225D7">
        <w:t xml:space="preserve"> роздільна здатність  цифрових зображень повинна становити не менше 300 точок на дюйм;</w:t>
      </w:r>
      <w:bookmarkStart w:id="3" w:name="n22"/>
      <w:bookmarkEnd w:id="3"/>
      <w:r w:rsidRPr="00C225D7">
        <w:t xml:space="preserve"> глибина кольору має становити не менше ніж 4 біти; </w:t>
      </w:r>
      <w:bookmarkStart w:id="4" w:name="n23"/>
      <w:bookmarkEnd w:id="4"/>
      <w:r w:rsidRPr="00C225D7">
        <w:t xml:space="preserve">формат готового </w:t>
      </w:r>
      <w:proofErr w:type="spellStart"/>
      <w:r w:rsidRPr="00C225D7">
        <w:t>файла</w:t>
      </w:r>
      <w:proofErr w:type="spellEnd"/>
      <w:r w:rsidRPr="00C225D7">
        <w:t xml:space="preserve"> - PDF</w:t>
      </w:r>
      <w:bookmarkStart w:id="5" w:name="n24"/>
      <w:bookmarkEnd w:id="5"/>
      <w:r w:rsidRPr="00C225D7">
        <w:t>;</w:t>
      </w:r>
      <w:r w:rsidR="0038285E">
        <w:t xml:space="preserve"> </w:t>
      </w:r>
      <w:r w:rsidRPr="00C225D7">
        <w:t xml:space="preserve">розмір </w:t>
      </w:r>
      <w:proofErr w:type="spellStart"/>
      <w:r w:rsidRPr="00C225D7">
        <w:t>файла</w:t>
      </w:r>
      <w:proofErr w:type="spellEnd"/>
      <w:r w:rsidRPr="00C225D7">
        <w:t xml:space="preserve"> - не більше ніж </w:t>
      </w:r>
      <w:r w:rsidR="00341386" w:rsidRPr="00C225D7">
        <w:t>30</w:t>
      </w:r>
      <w:r w:rsidRPr="00C225D7">
        <w:t>0 мегабайт.</w:t>
      </w:r>
    </w:p>
    <w:sectPr w:rsidR="00EE1941" w:rsidSect="004972C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3A"/>
    <w:rsid w:val="00165894"/>
    <w:rsid w:val="002A0B0F"/>
    <w:rsid w:val="00326301"/>
    <w:rsid w:val="00341386"/>
    <w:rsid w:val="0038285E"/>
    <w:rsid w:val="004972C0"/>
    <w:rsid w:val="004A2600"/>
    <w:rsid w:val="004C1085"/>
    <w:rsid w:val="004F6AF9"/>
    <w:rsid w:val="005C73EF"/>
    <w:rsid w:val="00651C2B"/>
    <w:rsid w:val="006673E1"/>
    <w:rsid w:val="00670A57"/>
    <w:rsid w:val="006C5A3D"/>
    <w:rsid w:val="007C22A8"/>
    <w:rsid w:val="008A2CE7"/>
    <w:rsid w:val="009402E1"/>
    <w:rsid w:val="009C6176"/>
    <w:rsid w:val="00A1463A"/>
    <w:rsid w:val="00A76FBD"/>
    <w:rsid w:val="00AA6318"/>
    <w:rsid w:val="00AD79FF"/>
    <w:rsid w:val="00AE4712"/>
    <w:rsid w:val="00AF74C4"/>
    <w:rsid w:val="00AF7CDD"/>
    <w:rsid w:val="00BE5676"/>
    <w:rsid w:val="00C225D7"/>
    <w:rsid w:val="00C4607E"/>
    <w:rsid w:val="00D21FE2"/>
    <w:rsid w:val="00D8265D"/>
    <w:rsid w:val="00D97258"/>
    <w:rsid w:val="00ED7C19"/>
    <w:rsid w:val="00EE1941"/>
    <w:rsid w:val="00EE2FF9"/>
    <w:rsid w:val="00F56D0D"/>
    <w:rsid w:val="00FA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12"/>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AE4712"/>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AE471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712"/>
    <w:rPr>
      <w:rFonts w:ascii="Cambria" w:eastAsia="Times New Roman" w:hAnsi="Cambria" w:cs="Times New Roman"/>
      <w:b/>
      <w:bCs/>
      <w:kern w:val="32"/>
      <w:sz w:val="32"/>
      <w:szCs w:val="32"/>
      <w:lang w:val="uk-UA" w:eastAsia="ru-RU"/>
    </w:rPr>
  </w:style>
  <w:style w:type="character" w:customStyle="1" w:styleId="30">
    <w:name w:val="Заголовок 3 Знак"/>
    <w:basedOn w:val="a0"/>
    <w:link w:val="3"/>
    <w:semiHidden/>
    <w:rsid w:val="00AE4712"/>
    <w:rPr>
      <w:rFonts w:asciiTheme="majorHAnsi" w:eastAsiaTheme="majorEastAsia" w:hAnsiTheme="majorHAnsi" w:cstheme="majorBidi"/>
      <w:color w:val="243F60" w:themeColor="accent1" w:themeShade="7F"/>
      <w:sz w:val="24"/>
      <w:szCs w:val="24"/>
      <w:lang w:val="uk-UA" w:eastAsia="ru-RU"/>
    </w:rPr>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4"/>
    <w:uiPriority w:val="99"/>
    <w:qFormat/>
    <w:rsid w:val="00AE4712"/>
    <w:pPr>
      <w:spacing w:before="100" w:after="100"/>
    </w:pPr>
  </w:style>
  <w:style w:type="character" w:customStyle="1" w:styleId="a4">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3"/>
    <w:uiPriority w:val="99"/>
    <w:locked/>
    <w:rsid w:val="00AE4712"/>
    <w:rPr>
      <w:rFonts w:ascii="Times New Roman" w:eastAsia="Times New Roman" w:hAnsi="Times New Roman" w:cs="Times New Roman"/>
      <w:sz w:val="24"/>
      <w:szCs w:val="24"/>
      <w:lang w:val="uk-UA" w:eastAsia="ru-RU"/>
    </w:rPr>
  </w:style>
  <w:style w:type="table" w:styleId="a5">
    <w:name w:val="Table Grid"/>
    <w:basedOn w:val="a1"/>
    <w:uiPriority w:val="39"/>
    <w:rsid w:val="00AE4712"/>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AE4712"/>
    <w:rPr>
      <w:rFonts w:cs="Times New Roman"/>
    </w:rPr>
  </w:style>
  <w:style w:type="paragraph" w:customStyle="1" w:styleId="11">
    <w:name w:val="Стиль1"/>
    <w:rsid w:val="00AE4712"/>
    <w:pPr>
      <w:spacing w:after="0" w:line="240" w:lineRule="auto"/>
    </w:pPr>
    <w:rPr>
      <w:rFonts w:ascii="Times New Roman" w:eastAsia="Times New Roman" w:hAnsi="Times New Roman" w:cs="Times New Roman"/>
      <w:sz w:val="20"/>
      <w:szCs w:val="20"/>
      <w:lang w:eastAsia="ru-RU"/>
    </w:rPr>
  </w:style>
  <w:style w:type="character" w:customStyle="1" w:styleId="rvts9">
    <w:name w:val="rvts9"/>
    <w:rsid w:val="00AE4712"/>
  </w:style>
  <w:style w:type="character" w:customStyle="1" w:styleId="rvts15">
    <w:name w:val="rvts15"/>
    <w:basedOn w:val="a0"/>
    <w:rsid w:val="00AE4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12"/>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AE4712"/>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AE471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712"/>
    <w:rPr>
      <w:rFonts w:ascii="Cambria" w:eastAsia="Times New Roman" w:hAnsi="Cambria" w:cs="Times New Roman"/>
      <w:b/>
      <w:bCs/>
      <w:kern w:val="32"/>
      <w:sz w:val="32"/>
      <w:szCs w:val="32"/>
      <w:lang w:val="uk-UA" w:eastAsia="ru-RU"/>
    </w:rPr>
  </w:style>
  <w:style w:type="character" w:customStyle="1" w:styleId="30">
    <w:name w:val="Заголовок 3 Знак"/>
    <w:basedOn w:val="a0"/>
    <w:link w:val="3"/>
    <w:semiHidden/>
    <w:rsid w:val="00AE4712"/>
    <w:rPr>
      <w:rFonts w:asciiTheme="majorHAnsi" w:eastAsiaTheme="majorEastAsia" w:hAnsiTheme="majorHAnsi" w:cstheme="majorBidi"/>
      <w:color w:val="243F60" w:themeColor="accent1" w:themeShade="7F"/>
      <w:sz w:val="24"/>
      <w:szCs w:val="24"/>
      <w:lang w:val="uk-UA" w:eastAsia="ru-RU"/>
    </w:rPr>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4"/>
    <w:uiPriority w:val="99"/>
    <w:qFormat/>
    <w:rsid w:val="00AE4712"/>
    <w:pPr>
      <w:spacing w:before="100" w:after="100"/>
    </w:pPr>
  </w:style>
  <w:style w:type="character" w:customStyle="1" w:styleId="a4">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3"/>
    <w:uiPriority w:val="99"/>
    <w:locked/>
    <w:rsid w:val="00AE4712"/>
    <w:rPr>
      <w:rFonts w:ascii="Times New Roman" w:eastAsia="Times New Roman" w:hAnsi="Times New Roman" w:cs="Times New Roman"/>
      <w:sz w:val="24"/>
      <w:szCs w:val="24"/>
      <w:lang w:val="uk-UA" w:eastAsia="ru-RU"/>
    </w:rPr>
  </w:style>
  <w:style w:type="table" w:styleId="a5">
    <w:name w:val="Table Grid"/>
    <w:basedOn w:val="a1"/>
    <w:uiPriority w:val="39"/>
    <w:rsid w:val="00AE4712"/>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AE4712"/>
    <w:rPr>
      <w:rFonts w:cs="Times New Roman"/>
    </w:rPr>
  </w:style>
  <w:style w:type="paragraph" w:customStyle="1" w:styleId="11">
    <w:name w:val="Стиль1"/>
    <w:rsid w:val="00AE4712"/>
    <w:pPr>
      <w:spacing w:after="0" w:line="240" w:lineRule="auto"/>
    </w:pPr>
    <w:rPr>
      <w:rFonts w:ascii="Times New Roman" w:eastAsia="Times New Roman" w:hAnsi="Times New Roman" w:cs="Times New Roman"/>
      <w:sz w:val="20"/>
      <w:szCs w:val="20"/>
      <w:lang w:eastAsia="ru-RU"/>
    </w:rPr>
  </w:style>
  <w:style w:type="character" w:customStyle="1" w:styleId="rvts9">
    <w:name w:val="rvts9"/>
    <w:rsid w:val="00AE4712"/>
  </w:style>
  <w:style w:type="character" w:customStyle="1" w:styleId="rvts15">
    <w:name w:val="rvts15"/>
    <w:basedOn w:val="a0"/>
    <w:rsid w:val="00AE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2108</Words>
  <Characters>12021</Characters>
  <Application>Microsoft Office Word</Application>
  <DocSecurity>0</DocSecurity>
  <Lines>100</Lines>
  <Paragraphs>28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Виктория</cp:lastModifiedBy>
  <cp:revision>33</cp:revision>
  <dcterms:created xsi:type="dcterms:W3CDTF">2023-02-14T08:48:00Z</dcterms:created>
  <dcterms:modified xsi:type="dcterms:W3CDTF">2024-03-14T14:44:00Z</dcterms:modified>
</cp:coreProperties>
</file>