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7AD" w:rsidRPr="00B2610F" w:rsidRDefault="00B2610F">
      <w:pPr>
        <w:spacing w:after="0" w:line="240" w:lineRule="auto"/>
        <w:ind w:left="5660"/>
        <w:jc w:val="right"/>
        <w:rPr>
          <w:rFonts w:ascii="Times New Roman" w:eastAsia="Times New Roman" w:hAnsi="Times New Roman" w:cs="Times New Roman"/>
          <w:sz w:val="24"/>
          <w:szCs w:val="24"/>
        </w:rPr>
      </w:pPr>
      <w:r w:rsidRPr="00B2610F">
        <w:rPr>
          <w:rFonts w:ascii="Times New Roman" w:eastAsia="Times New Roman" w:hAnsi="Times New Roman" w:cs="Times New Roman"/>
          <w:b/>
          <w:color w:val="000000"/>
          <w:sz w:val="24"/>
          <w:szCs w:val="24"/>
        </w:rPr>
        <w:t>ДОДАТОК  2</w:t>
      </w:r>
    </w:p>
    <w:p w:rsidR="00A177AD" w:rsidRPr="00B2610F" w:rsidRDefault="00B2610F">
      <w:pPr>
        <w:spacing w:after="0" w:line="240" w:lineRule="auto"/>
        <w:ind w:left="5660"/>
        <w:jc w:val="right"/>
        <w:rPr>
          <w:rFonts w:ascii="Times New Roman" w:eastAsia="Times New Roman" w:hAnsi="Times New Roman" w:cs="Times New Roman"/>
          <w:sz w:val="24"/>
          <w:szCs w:val="24"/>
        </w:rPr>
      </w:pPr>
      <w:r w:rsidRPr="00B2610F">
        <w:rPr>
          <w:rFonts w:ascii="Times New Roman" w:eastAsia="Times New Roman" w:hAnsi="Times New Roman" w:cs="Times New Roman"/>
          <w:i/>
          <w:color w:val="000000"/>
          <w:sz w:val="24"/>
          <w:szCs w:val="24"/>
        </w:rPr>
        <w:t>до тендерної документації</w:t>
      </w:r>
      <w:r w:rsidRPr="00B2610F">
        <w:rPr>
          <w:rFonts w:ascii="Times New Roman" w:eastAsia="Times New Roman" w:hAnsi="Times New Roman" w:cs="Times New Roman"/>
          <w:color w:val="000000"/>
          <w:sz w:val="24"/>
          <w:szCs w:val="24"/>
        </w:rPr>
        <w:t> </w:t>
      </w:r>
    </w:p>
    <w:p w:rsidR="00A177AD" w:rsidRPr="00B2610F" w:rsidRDefault="00A177AD">
      <w:pPr>
        <w:spacing w:before="240" w:after="0" w:line="240" w:lineRule="auto"/>
        <w:jc w:val="center"/>
        <w:rPr>
          <w:rFonts w:ascii="Times New Roman" w:eastAsia="Times New Roman" w:hAnsi="Times New Roman" w:cs="Times New Roman"/>
          <w:b/>
          <w:i/>
          <w:color w:val="000000"/>
          <w:sz w:val="4"/>
          <w:szCs w:val="4"/>
        </w:rPr>
      </w:pPr>
    </w:p>
    <w:p w:rsidR="00A177AD" w:rsidRPr="00B2610F" w:rsidRDefault="00B2610F">
      <w:pPr>
        <w:spacing w:after="0" w:line="240" w:lineRule="auto"/>
        <w:jc w:val="center"/>
        <w:rPr>
          <w:rFonts w:ascii="Times New Roman" w:eastAsia="Times New Roman" w:hAnsi="Times New Roman" w:cs="Times New Roman"/>
          <w:b/>
          <w:i/>
          <w:sz w:val="24"/>
          <w:szCs w:val="24"/>
        </w:rPr>
      </w:pPr>
      <w:r w:rsidRPr="00B2610F">
        <w:rPr>
          <w:rFonts w:ascii="Times New Roman" w:eastAsia="Times New Roman" w:hAnsi="Times New Roman" w:cs="Times New Roman"/>
          <w:b/>
          <w:i/>
          <w:sz w:val="24"/>
          <w:szCs w:val="24"/>
          <w:highlight w:val="white"/>
        </w:rPr>
        <w:t>ТЕХНІЧНА СПЕЦИФІКАЦІЯ</w:t>
      </w:r>
    </w:p>
    <w:p w:rsidR="004511EB" w:rsidRPr="00B2610F" w:rsidRDefault="004511EB" w:rsidP="004511EB">
      <w:pPr>
        <w:spacing w:after="0" w:line="240" w:lineRule="auto"/>
        <w:jc w:val="center"/>
        <w:rPr>
          <w:rFonts w:ascii="Times New Roman" w:hAnsi="Times New Roman" w:cs="Times New Roman"/>
          <w:b/>
          <w:bCs/>
          <w:color w:val="000000"/>
          <w:sz w:val="24"/>
          <w:szCs w:val="24"/>
          <w:bdr w:val="none" w:sz="0" w:space="0" w:color="auto" w:frame="1"/>
          <w:shd w:val="clear" w:color="auto" w:fill="FDFEFD"/>
        </w:rPr>
      </w:pPr>
      <w:r w:rsidRPr="00B2610F">
        <w:rPr>
          <w:rFonts w:ascii="Times New Roman" w:eastAsia="Times New Roman" w:hAnsi="Times New Roman" w:cs="Times New Roman"/>
          <w:b/>
          <w:sz w:val="24"/>
          <w:szCs w:val="24"/>
        </w:rPr>
        <w:t>ДК 021:2015:</w:t>
      </w:r>
      <w:r w:rsidRPr="00B2610F">
        <w:rPr>
          <w:rFonts w:ascii="Arial" w:hAnsi="Arial" w:cs="Arial"/>
          <w:color w:val="454545"/>
          <w:sz w:val="24"/>
          <w:szCs w:val="24"/>
        </w:rPr>
        <w:t xml:space="preserve"> </w:t>
      </w:r>
      <w:r w:rsidRPr="00B2610F">
        <w:rPr>
          <w:rFonts w:ascii="Times New Roman" w:hAnsi="Times New Roman" w:cs="Times New Roman"/>
          <w:b/>
          <w:bCs/>
          <w:color w:val="000000"/>
          <w:sz w:val="24"/>
          <w:szCs w:val="24"/>
          <w:bdr w:val="none" w:sz="0" w:space="0" w:color="auto" w:frame="1"/>
          <w:shd w:val="clear" w:color="auto" w:fill="FDFEFD"/>
        </w:rPr>
        <w:t>33696000-5</w:t>
      </w:r>
      <w:r w:rsidRPr="00B2610F">
        <w:rPr>
          <w:rFonts w:ascii="Times New Roman" w:hAnsi="Times New Roman" w:cs="Times New Roman"/>
          <w:b/>
          <w:bCs/>
          <w:color w:val="777777"/>
          <w:sz w:val="24"/>
          <w:szCs w:val="24"/>
          <w:shd w:val="clear" w:color="auto" w:fill="FDFEFD"/>
        </w:rPr>
        <w:t> - </w:t>
      </w:r>
      <w:r w:rsidRPr="00B2610F">
        <w:rPr>
          <w:rFonts w:ascii="Times New Roman" w:hAnsi="Times New Roman" w:cs="Times New Roman"/>
          <w:b/>
          <w:bCs/>
          <w:color w:val="000000"/>
          <w:sz w:val="24"/>
          <w:szCs w:val="24"/>
          <w:bdr w:val="none" w:sz="0" w:space="0" w:color="auto" w:frame="1"/>
          <w:shd w:val="clear" w:color="auto" w:fill="FDFEFD"/>
        </w:rPr>
        <w:t>Реактиви та контрастні речовини</w:t>
      </w:r>
    </w:p>
    <w:p w:rsidR="004511EB" w:rsidRPr="00B2610F" w:rsidRDefault="004511EB" w:rsidP="004511EB">
      <w:pPr>
        <w:spacing w:after="0" w:line="240" w:lineRule="auto"/>
        <w:jc w:val="center"/>
        <w:rPr>
          <w:rFonts w:ascii="Times New Roman" w:hAnsi="Times New Roman"/>
          <w:b/>
          <w:sz w:val="24"/>
          <w:szCs w:val="24"/>
        </w:rPr>
      </w:pPr>
      <w:r w:rsidRPr="00B2610F">
        <w:rPr>
          <w:rFonts w:ascii="Times New Roman" w:hAnsi="Times New Roman" w:cs="Times New Roman"/>
          <w:b/>
          <w:sz w:val="24"/>
          <w:szCs w:val="24"/>
          <w:bdr w:val="none" w:sz="0" w:space="0" w:color="auto" w:frame="1"/>
        </w:rPr>
        <w:t>Розчинники та реагенти (</w:t>
      </w:r>
      <w:proofErr w:type="spellStart"/>
      <w:r w:rsidRPr="00B2610F">
        <w:rPr>
          <w:rFonts w:ascii="Times New Roman" w:hAnsi="Times New Roman"/>
          <w:b/>
          <w:sz w:val="24"/>
          <w:szCs w:val="24"/>
        </w:rPr>
        <w:t>Ділюент</w:t>
      </w:r>
      <w:proofErr w:type="spellEnd"/>
      <w:r w:rsidRPr="00B2610F">
        <w:rPr>
          <w:rFonts w:ascii="Times New Roman" w:hAnsi="Times New Roman"/>
          <w:b/>
          <w:sz w:val="24"/>
          <w:szCs w:val="24"/>
        </w:rPr>
        <w:t xml:space="preserve"> 3 </w:t>
      </w:r>
      <w:proofErr w:type="spellStart"/>
      <w:r w:rsidRPr="00B2610F">
        <w:rPr>
          <w:rFonts w:ascii="Times New Roman" w:hAnsi="Times New Roman"/>
          <w:b/>
          <w:sz w:val="24"/>
          <w:szCs w:val="24"/>
        </w:rPr>
        <w:t>Діф</w:t>
      </w:r>
      <w:proofErr w:type="spellEnd"/>
      <w:r w:rsidRPr="00B2610F">
        <w:rPr>
          <w:rFonts w:ascii="Times New Roman" w:hAnsi="Times New Roman"/>
          <w:b/>
          <w:sz w:val="24"/>
          <w:szCs w:val="24"/>
        </w:rPr>
        <w:t xml:space="preserve"> H3 20 л, </w:t>
      </w:r>
      <w:proofErr w:type="spellStart"/>
      <w:r w:rsidRPr="00B2610F">
        <w:rPr>
          <w:rFonts w:ascii="Times New Roman" w:hAnsi="Times New Roman"/>
          <w:b/>
          <w:sz w:val="24"/>
          <w:szCs w:val="24"/>
        </w:rPr>
        <w:t>Рінз</w:t>
      </w:r>
      <w:proofErr w:type="spellEnd"/>
      <w:r w:rsidRPr="00B2610F">
        <w:rPr>
          <w:rFonts w:ascii="Times New Roman" w:hAnsi="Times New Roman"/>
          <w:b/>
          <w:sz w:val="24"/>
          <w:szCs w:val="24"/>
        </w:rPr>
        <w:t xml:space="preserve"> 3 </w:t>
      </w:r>
      <w:proofErr w:type="spellStart"/>
      <w:r w:rsidRPr="00B2610F">
        <w:rPr>
          <w:rFonts w:ascii="Times New Roman" w:hAnsi="Times New Roman"/>
          <w:b/>
          <w:sz w:val="24"/>
          <w:szCs w:val="24"/>
        </w:rPr>
        <w:t>Діф</w:t>
      </w:r>
      <w:proofErr w:type="spellEnd"/>
      <w:r w:rsidRPr="00B2610F">
        <w:rPr>
          <w:rFonts w:ascii="Times New Roman" w:hAnsi="Times New Roman"/>
          <w:b/>
          <w:sz w:val="24"/>
          <w:szCs w:val="24"/>
        </w:rPr>
        <w:t xml:space="preserve"> H3 20 л, </w:t>
      </w:r>
      <w:proofErr w:type="spellStart"/>
      <w:r w:rsidRPr="00B2610F">
        <w:rPr>
          <w:rFonts w:ascii="Times New Roman" w:hAnsi="Times New Roman"/>
          <w:b/>
          <w:sz w:val="24"/>
          <w:szCs w:val="24"/>
        </w:rPr>
        <w:t>Лайз</w:t>
      </w:r>
      <w:proofErr w:type="spellEnd"/>
      <w:r w:rsidRPr="00B2610F">
        <w:rPr>
          <w:rFonts w:ascii="Times New Roman" w:hAnsi="Times New Roman"/>
          <w:b/>
          <w:sz w:val="24"/>
          <w:szCs w:val="24"/>
        </w:rPr>
        <w:t xml:space="preserve"> 3 </w:t>
      </w:r>
      <w:proofErr w:type="spellStart"/>
      <w:r w:rsidRPr="00B2610F">
        <w:rPr>
          <w:rFonts w:ascii="Times New Roman" w:hAnsi="Times New Roman"/>
          <w:b/>
          <w:sz w:val="24"/>
          <w:szCs w:val="24"/>
        </w:rPr>
        <w:t>Діф</w:t>
      </w:r>
      <w:proofErr w:type="spellEnd"/>
      <w:r w:rsidRPr="00B2610F">
        <w:rPr>
          <w:rFonts w:ascii="Times New Roman" w:hAnsi="Times New Roman"/>
          <w:b/>
          <w:sz w:val="24"/>
          <w:szCs w:val="24"/>
        </w:rPr>
        <w:t xml:space="preserve"> H3 0.5 л, Миючий розчин </w:t>
      </w:r>
      <w:proofErr w:type="spellStart"/>
      <w:r w:rsidRPr="00B2610F">
        <w:rPr>
          <w:rFonts w:ascii="Times New Roman" w:hAnsi="Times New Roman"/>
          <w:b/>
          <w:sz w:val="24"/>
          <w:szCs w:val="24"/>
        </w:rPr>
        <w:t>Diaclair</w:t>
      </w:r>
      <w:proofErr w:type="spellEnd"/>
      <w:r w:rsidRPr="00B2610F">
        <w:rPr>
          <w:rFonts w:ascii="Times New Roman" w:hAnsi="Times New Roman"/>
          <w:b/>
          <w:sz w:val="24"/>
          <w:szCs w:val="24"/>
        </w:rPr>
        <w:t>/</w:t>
      </w:r>
      <w:proofErr w:type="spellStart"/>
      <w:r w:rsidRPr="00B2610F">
        <w:rPr>
          <w:rFonts w:ascii="Times New Roman" w:hAnsi="Times New Roman"/>
          <w:b/>
          <w:sz w:val="24"/>
          <w:szCs w:val="24"/>
        </w:rPr>
        <w:t>Діаклєр</w:t>
      </w:r>
      <w:proofErr w:type="spellEnd"/>
      <w:r w:rsidRPr="00B2610F">
        <w:rPr>
          <w:rFonts w:ascii="Times New Roman" w:hAnsi="Times New Roman"/>
          <w:b/>
          <w:sz w:val="24"/>
          <w:szCs w:val="24"/>
        </w:rPr>
        <w:t xml:space="preserve"> 1л) та Контрольний матеріал CBC-3D, 2.0 мл, нормальний рівень</w:t>
      </w:r>
    </w:p>
    <w:p w:rsidR="00B2610F" w:rsidRPr="00B2610F" w:rsidRDefault="00B2610F" w:rsidP="004511EB">
      <w:pPr>
        <w:spacing w:after="0" w:line="240" w:lineRule="auto"/>
        <w:jc w:val="center"/>
        <w:rPr>
          <w:rFonts w:ascii="Times New Roman" w:eastAsia="Times New Roman" w:hAnsi="Times New Roman" w:cs="Times New Roman"/>
          <w:color w:val="000000"/>
          <w:sz w:val="24"/>
          <w:szCs w:val="24"/>
        </w:rPr>
      </w:pPr>
    </w:p>
    <w:tbl>
      <w:tblPr>
        <w:tblStyle w:val="a7"/>
        <w:tblW w:w="10105" w:type="dxa"/>
        <w:tblInd w:w="-289" w:type="dxa"/>
        <w:tblLook w:val="04A0" w:firstRow="1" w:lastRow="0" w:firstColumn="1" w:lastColumn="0" w:noHBand="0" w:noVBand="1"/>
      </w:tblPr>
      <w:tblGrid>
        <w:gridCol w:w="561"/>
        <w:gridCol w:w="2017"/>
        <w:gridCol w:w="2508"/>
        <w:gridCol w:w="2735"/>
        <w:gridCol w:w="716"/>
        <w:gridCol w:w="478"/>
        <w:gridCol w:w="1090"/>
      </w:tblGrid>
      <w:tr w:rsidR="00B2610F" w:rsidRPr="00B2610F" w:rsidTr="00B2610F">
        <w:trPr>
          <w:trHeight w:val="733"/>
        </w:trPr>
        <w:tc>
          <w:tcPr>
            <w:tcW w:w="561"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sz w:val="24"/>
                <w:szCs w:val="24"/>
                <w:lang w:eastAsia="ar-SA"/>
              </w:rPr>
              <w:t>№ п/п</w:t>
            </w:r>
          </w:p>
        </w:tc>
        <w:tc>
          <w:tcPr>
            <w:tcW w:w="207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sz w:val="24"/>
                <w:szCs w:val="24"/>
                <w:lang w:eastAsia="ar-SA"/>
              </w:rPr>
              <w:t>Назва реактиву</w:t>
            </w:r>
          </w:p>
        </w:tc>
        <w:tc>
          <w:tcPr>
            <w:tcW w:w="2180" w:type="dxa"/>
            <w:vAlign w:val="center"/>
          </w:tcPr>
          <w:p w:rsidR="00B2610F" w:rsidRPr="00B2610F" w:rsidRDefault="00B2610F" w:rsidP="00F96E42">
            <w:pPr>
              <w:suppressAutoHyphens/>
              <w:jc w:val="center"/>
              <w:rPr>
                <w:rFonts w:ascii="Times New Roman" w:eastAsia="Times New Roman" w:hAnsi="Times New Roman"/>
                <w:b/>
                <w:sz w:val="24"/>
                <w:szCs w:val="24"/>
                <w:lang w:eastAsia="ar-SA"/>
              </w:rPr>
            </w:pPr>
            <w:r w:rsidRPr="00B2610F">
              <w:rPr>
                <w:rFonts w:ascii="Times New Roman" w:eastAsia="Times New Roman" w:hAnsi="Times New Roman"/>
                <w:b/>
                <w:sz w:val="24"/>
                <w:szCs w:val="24"/>
                <w:lang w:eastAsia="ar-SA"/>
              </w:rPr>
              <w:t>Класифікатор медичних</w:t>
            </w:r>
          </w:p>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sz w:val="24"/>
                <w:szCs w:val="24"/>
                <w:lang w:eastAsia="ar-SA"/>
              </w:rPr>
              <w:t>виробів НК 024:2023</w:t>
            </w:r>
          </w:p>
        </w:tc>
        <w:tc>
          <w:tcPr>
            <w:tcW w:w="2995"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bCs/>
                <w:sz w:val="24"/>
                <w:szCs w:val="24"/>
                <w:lang w:eastAsia="ar-SA"/>
              </w:rPr>
              <w:t>Вимоги</w:t>
            </w:r>
          </w:p>
        </w:tc>
        <w:tc>
          <w:tcPr>
            <w:tcW w:w="71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bCs/>
                <w:sz w:val="24"/>
                <w:szCs w:val="24"/>
                <w:lang w:eastAsia="ar-SA"/>
              </w:rPr>
              <w:t xml:space="preserve">Од. </w:t>
            </w:r>
            <w:proofErr w:type="spellStart"/>
            <w:r w:rsidRPr="00B2610F">
              <w:rPr>
                <w:rFonts w:ascii="Times New Roman" w:eastAsia="Times New Roman" w:hAnsi="Times New Roman"/>
                <w:b/>
                <w:bCs/>
                <w:sz w:val="24"/>
                <w:szCs w:val="24"/>
                <w:lang w:eastAsia="ar-SA"/>
              </w:rPr>
              <w:t>вим</w:t>
            </w:r>
            <w:proofErr w:type="spellEnd"/>
            <w:r w:rsidRPr="00B2610F">
              <w:rPr>
                <w:rFonts w:ascii="Times New Roman" w:eastAsia="Times New Roman" w:hAnsi="Times New Roman"/>
                <w:b/>
                <w:bCs/>
                <w:sz w:val="24"/>
                <w:szCs w:val="24"/>
                <w:lang w:eastAsia="ar-SA"/>
              </w:rPr>
              <w:t>.</w:t>
            </w:r>
          </w:p>
        </w:tc>
        <w:tc>
          <w:tcPr>
            <w:tcW w:w="481"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bCs/>
                <w:sz w:val="24"/>
                <w:szCs w:val="24"/>
                <w:lang w:eastAsia="ar-SA"/>
              </w:rPr>
              <w:t>К-ть</w:t>
            </w:r>
          </w:p>
        </w:tc>
        <w:tc>
          <w:tcPr>
            <w:tcW w:w="1090" w:type="dxa"/>
            <w:vAlign w:val="center"/>
          </w:tcPr>
          <w:p w:rsidR="00B2610F" w:rsidRPr="00B2610F" w:rsidRDefault="00B2610F" w:rsidP="00F96E42">
            <w:pPr>
              <w:suppressAutoHyphens/>
              <w:snapToGrid w:val="0"/>
              <w:jc w:val="center"/>
              <w:rPr>
                <w:rFonts w:ascii="Times New Roman" w:eastAsia="Times New Roman" w:hAnsi="Times New Roman"/>
                <w:b/>
                <w:bCs/>
                <w:sz w:val="24"/>
                <w:szCs w:val="24"/>
                <w:lang w:eastAsia="ar-SA"/>
              </w:rPr>
            </w:pPr>
            <w:proofErr w:type="spellStart"/>
            <w:r w:rsidRPr="00B2610F">
              <w:rPr>
                <w:rFonts w:ascii="Times New Roman" w:eastAsia="Times New Roman" w:hAnsi="Times New Roman"/>
                <w:b/>
                <w:bCs/>
                <w:sz w:val="24"/>
                <w:szCs w:val="24"/>
                <w:lang w:eastAsia="ar-SA"/>
              </w:rPr>
              <w:t>Відпо-відність</w:t>
            </w:r>
            <w:proofErr w:type="spellEnd"/>
          </w:p>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b/>
                <w:bCs/>
                <w:sz w:val="24"/>
                <w:szCs w:val="24"/>
                <w:lang w:eastAsia="ar-SA"/>
              </w:rPr>
              <w:t>Так/ні</w:t>
            </w:r>
          </w:p>
        </w:tc>
      </w:tr>
      <w:tr w:rsidR="00B2610F" w:rsidRPr="00B2610F" w:rsidTr="00B2610F">
        <w:trPr>
          <w:trHeight w:val="1187"/>
        </w:trPr>
        <w:tc>
          <w:tcPr>
            <w:tcW w:w="561"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rPr>
              <w:t>1</w:t>
            </w:r>
          </w:p>
        </w:tc>
        <w:tc>
          <w:tcPr>
            <w:tcW w:w="2079" w:type="dxa"/>
            <w:vAlign w:val="center"/>
          </w:tcPr>
          <w:p w:rsidR="00B2610F" w:rsidRPr="00B2610F" w:rsidRDefault="00B2610F" w:rsidP="00F96E42">
            <w:pPr>
              <w:rPr>
                <w:rFonts w:ascii="Times New Roman" w:hAnsi="Times New Roman"/>
                <w:b/>
                <w:sz w:val="24"/>
                <w:szCs w:val="24"/>
              </w:rPr>
            </w:pPr>
            <w:proofErr w:type="spellStart"/>
            <w:r w:rsidRPr="00B2610F">
              <w:rPr>
                <w:rFonts w:ascii="Times New Roman" w:hAnsi="Times New Roman"/>
                <w:sz w:val="24"/>
                <w:szCs w:val="24"/>
              </w:rPr>
              <w:t>Ділюент</w:t>
            </w:r>
            <w:proofErr w:type="spellEnd"/>
            <w:r w:rsidRPr="00B2610F">
              <w:rPr>
                <w:rFonts w:ascii="Times New Roman" w:hAnsi="Times New Roman"/>
                <w:sz w:val="24"/>
                <w:szCs w:val="24"/>
              </w:rPr>
              <w:t xml:space="preserve"> 3 </w:t>
            </w:r>
            <w:proofErr w:type="spellStart"/>
            <w:r w:rsidRPr="00B2610F">
              <w:rPr>
                <w:rFonts w:ascii="Times New Roman" w:hAnsi="Times New Roman"/>
                <w:sz w:val="24"/>
                <w:szCs w:val="24"/>
              </w:rPr>
              <w:t>Діф</w:t>
            </w:r>
            <w:proofErr w:type="spellEnd"/>
            <w:r w:rsidRPr="00B2610F">
              <w:rPr>
                <w:rFonts w:ascii="Times New Roman" w:hAnsi="Times New Roman"/>
                <w:sz w:val="24"/>
                <w:szCs w:val="24"/>
              </w:rPr>
              <w:t xml:space="preserve"> H3, 20 л</w:t>
            </w:r>
          </w:p>
        </w:tc>
        <w:tc>
          <w:tcPr>
            <w:tcW w:w="2180" w:type="dxa"/>
            <w:vAlign w:val="center"/>
          </w:tcPr>
          <w:p w:rsidR="00B2610F" w:rsidRPr="00B2610F" w:rsidRDefault="00B2610F" w:rsidP="00F96E42">
            <w:pPr>
              <w:rPr>
                <w:rFonts w:ascii="Times New Roman" w:hAnsi="Times New Roman"/>
                <w:b/>
                <w:sz w:val="24"/>
                <w:szCs w:val="24"/>
              </w:rPr>
            </w:pPr>
            <w:r w:rsidRPr="00B2610F">
              <w:rPr>
                <w:rFonts w:ascii="Times New Roman" w:eastAsia="Times New Roman" w:hAnsi="Times New Roman"/>
                <w:sz w:val="24"/>
                <w:szCs w:val="24"/>
              </w:rPr>
              <w:t xml:space="preserve">58237 – Буферний розчинник зразків IVD (діагностика </w:t>
            </w:r>
            <w:proofErr w:type="spellStart"/>
            <w:r w:rsidRPr="00B2610F">
              <w:rPr>
                <w:rFonts w:ascii="Times New Roman" w:eastAsia="Times New Roman" w:hAnsi="Times New Roman"/>
                <w:sz w:val="24"/>
                <w:szCs w:val="24"/>
              </w:rPr>
              <w:t>in</w:t>
            </w:r>
            <w:proofErr w:type="spellEnd"/>
            <w:r w:rsidRPr="00B2610F">
              <w:rPr>
                <w:rFonts w:ascii="Times New Roman" w:eastAsia="Times New Roman" w:hAnsi="Times New Roman"/>
                <w:sz w:val="24"/>
                <w:szCs w:val="24"/>
              </w:rPr>
              <w:t xml:space="preserve"> </w:t>
            </w:r>
            <w:proofErr w:type="spellStart"/>
            <w:r w:rsidRPr="00B2610F">
              <w:rPr>
                <w:rFonts w:ascii="Times New Roman" w:eastAsia="Times New Roman" w:hAnsi="Times New Roman"/>
                <w:sz w:val="24"/>
                <w:szCs w:val="24"/>
              </w:rPr>
              <w:t>vitro</w:t>
            </w:r>
            <w:proofErr w:type="spellEnd"/>
            <w:r w:rsidRPr="00B2610F">
              <w:rPr>
                <w:rFonts w:ascii="Times New Roman" w:eastAsia="Times New Roman" w:hAnsi="Times New Roman"/>
                <w:sz w:val="24"/>
                <w:szCs w:val="24"/>
              </w:rPr>
              <w:t>), автоматичні/ напівавтоматичні системи</w:t>
            </w:r>
          </w:p>
        </w:tc>
        <w:tc>
          <w:tcPr>
            <w:tcW w:w="2995" w:type="dxa"/>
            <w:vAlign w:val="center"/>
          </w:tcPr>
          <w:p w:rsidR="00B2610F" w:rsidRPr="00B2610F" w:rsidRDefault="00B2610F" w:rsidP="00F96E42">
            <w:pPr>
              <w:tabs>
                <w:tab w:val="left" w:pos="263"/>
              </w:tabs>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Хлорид натрію &lt; 5 g/l</w:t>
            </w:r>
          </w:p>
          <w:p w:rsidR="00B2610F" w:rsidRPr="00B2610F" w:rsidRDefault="00B2610F" w:rsidP="00F96E42">
            <w:pPr>
              <w:tabs>
                <w:tab w:val="left" w:pos="263"/>
              </w:tabs>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Сульфат натрію &lt; 12 g/l</w:t>
            </w:r>
          </w:p>
          <w:p w:rsidR="00B2610F" w:rsidRPr="00B2610F" w:rsidRDefault="00B2610F" w:rsidP="00F96E42">
            <w:pPr>
              <w:tabs>
                <w:tab w:val="left" w:pos="263"/>
              </w:tabs>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Об’єм 20 л</w:t>
            </w:r>
          </w:p>
          <w:p w:rsidR="00B2610F" w:rsidRPr="00B2610F" w:rsidRDefault="00B2610F" w:rsidP="00F96E42">
            <w:pPr>
              <w:rPr>
                <w:rFonts w:ascii="Times New Roman" w:hAnsi="Times New Roman"/>
                <w:b/>
                <w:sz w:val="24"/>
                <w:szCs w:val="24"/>
              </w:rPr>
            </w:pPr>
            <w:r w:rsidRPr="00B2610F">
              <w:rPr>
                <w:rFonts w:ascii="Times New Roman" w:eastAsia="Times New Roman" w:hAnsi="Times New Roman"/>
                <w:color w:val="000000"/>
                <w:sz w:val="24"/>
                <w:szCs w:val="24"/>
              </w:rPr>
              <w:t>Готовий до використання ізотонічний розчин (розчинник).</w:t>
            </w:r>
          </w:p>
        </w:tc>
        <w:tc>
          <w:tcPr>
            <w:tcW w:w="71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lang w:eastAsia="ar-SA"/>
              </w:rPr>
              <w:t>Шт.</w:t>
            </w:r>
          </w:p>
        </w:tc>
        <w:tc>
          <w:tcPr>
            <w:tcW w:w="481" w:type="dxa"/>
            <w:vAlign w:val="center"/>
          </w:tcPr>
          <w:p w:rsidR="00B2610F" w:rsidRPr="00B2610F" w:rsidRDefault="00B2610F" w:rsidP="00F96E42">
            <w:pPr>
              <w:jc w:val="center"/>
              <w:rPr>
                <w:rFonts w:ascii="Times New Roman" w:hAnsi="Times New Roman"/>
                <w:sz w:val="24"/>
                <w:szCs w:val="24"/>
              </w:rPr>
            </w:pPr>
            <w:r w:rsidRPr="00B2610F">
              <w:rPr>
                <w:rFonts w:ascii="Times New Roman" w:hAnsi="Times New Roman"/>
                <w:sz w:val="24"/>
                <w:szCs w:val="24"/>
              </w:rPr>
              <w:t>19</w:t>
            </w:r>
          </w:p>
        </w:tc>
        <w:tc>
          <w:tcPr>
            <w:tcW w:w="1090" w:type="dxa"/>
            <w:vAlign w:val="center"/>
          </w:tcPr>
          <w:p w:rsidR="00B2610F" w:rsidRPr="00B2610F" w:rsidRDefault="00B2610F" w:rsidP="00F96E42">
            <w:pPr>
              <w:jc w:val="center"/>
              <w:rPr>
                <w:rFonts w:ascii="Times New Roman" w:hAnsi="Times New Roman"/>
                <w:b/>
                <w:sz w:val="24"/>
                <w:szCs w:val="24"/>
              </w:rPr>
            </w:pPr>
          </w:p>
        </w:tc>
      </w:tr>
      <w:tr w:rsidR="00B2610F" w:rsidRPr="00B2610F" w:rsidTr="00B2610F">
        <w:trPr>
          <w:trHeight w:val="1365"/>
        </w:trPr>
        <w:tc>
          <w:tcPr>
            <w:tcW w:w="561"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rPr>
              <w:t>2</w:t>
            </w:r>
          </w:p>
        </w:tc>
        <w:tc>
          <w:tcPr>
            <w:tcW w:w="2079" w:type="dxa"/>
            <w:vAlign w:val="center"/>
          </w:tcPr>
          <w:p w:rsidR="00B2610F" w:rsidRPr="00B2610F" w:rsidRDefault="00B2610F" w:rsidP="00F96E42">
            <w:pPr>
              <w:rPr>
                <w:rFonts w:ascii="Times New Roman" w:hAnsi="Times New Roman"/>
                <w:b/>
                <w:sz w:val="24"/>
                <w:szCs w:val="24"/>
              </w:rPr>
            </w:pPr>
            <w:proofErr w:type="spellStart"/>
            <w:r w:rsidRPr="00B2610F">
              <w:rPr>
                <w:rFonts w:ascii="Times New Roman" w:hAnsi="Times New Roman"/>
                <w:sz w:val="24"/>
                <w:szCs w:val="24"/>
              </w:rPr>
              <w:t>Рінз</w:t>
            </w:r>
            <w:proofErr w:type="spellEnd"/>
            <w:r w:rsidRPr="00B2610F">
              <w:rPr>
                <w:rFonts w:ascii="Times New Roman" w:hAnsi="Times New Roman"/>
                <w:sz w:val="24"/>
                <w:szCs w:val="24"/>
              </w:rPr>
              <w:t xml:space="preserve"> 3 </w:t>
            </w:r>
            <w:proofErr w:type="spellStart"/>
            <w:r w:rsidRPr="00B2610F">
              <w:rPr>
                <w:rFonts w:ascii="Times New Roman" w:hAnsi="Times New Roman"/>
                <w:sz w:val="24"/>
                <w:szCs w:val="24"/>
              </w:rPr>
              <w:t>Діф</w:t>
            </w:r>
            <w:proofErr w:type="spellEnd"/>
            <w:r w:rsidRPr="00B2610F">
              <w:rPr>
                <w:rFonts w:ascii="Times New Roman" w:hAnsi="Times New Roman"/>
                <w:sz w:val="24"/>
                <w:szCs w:val="24"/>
              </w:rPr>
              <w:t xml:space="preserve"> H3, 20 л</w:t>
            </w:r>
          </w:p>
        </w:tc>
        <w:tc>
          <w:tcPr>
            <w:tcW w:w="2180" w:type="dxa"/>
            <w:vAlign w:val="center"/>
          </w:tcPr>
          <w:p w:rsidR="00B2610F" w:rsidRPr="00B2610F" w:rsidRDefault="00B2610F" w:rsidP="00F96E42">
            <w:pPr>
              <w:rPr>
                <w:rFonts w:ascii="Times New Roman" w:hAnsi="Times New Roman"/>
                <w:b/>
                <w:sz w:val="24"/>
                <w:szCs w:val="24"/>
              </w:rPr>
            </w:pPr>
            <w:r w:rsidRPr="00B2610F">
              <w:rPr>
                <w:rFonts w:ascii="Times New Roman" w:eastAsia="Times New Roman" w:hAnsi="Times New Roman"/>
                <w:sz w:val="24"/>
                <w:szCs w:val="24"/>
              </w:rPr>
              <w:t xml:space="preserve">59058 – Мийний/ очищувальний розчин IVD (діагностика </w:t>
            </w:r>
            <w:proofErr w:type="spellStart"/>
            <w:r w:rsidRPr="00B2610F">
              <w:rPr>
                <w:rFonts w:ascii="Times New Roman" w:eastAsia="Times New Roman" w:hAnsi="Times New Roman"/>
                <w:sz w:val="24"/>
                <w:szCs w:val="24"/>
              </w:rPr>
              <w:t>in</w:t>
            </w:r>
            <w:proofErr w:type="spellEnd"/>
            <w:r w:rsidRPr="00B2610F">
              <w:rPr>
                <w:rFonts w:ascii="Times New Roman" w:eastAsia="Times New Roman" w:hAnsi="Times New Roman"/>
                <w:sz w:val="24"/>
                <w:szCs w:val="24"/>
              </w:rPr>
              <w:t xml:space="preserve"> </w:t>
            </w:r>
            <w:proofErr w:type="spellStart"/>
            <w:r w:rsidRPr="00B2610F">
              <w:rPr>
                <w:rFonts w:ascii="Times New Roman" w:eastAsia="Times New Roman" w:hAnsi="Times New Roman"/>
                <w:sz w:val="24"/>
                <w:szCs w:val="24"/>
              </w:rPr>
              <w:t>vitro</w:t>
            </w:r>
            <w:proofErr w:type="spellEnd"/>
            <w:r w:rsidRPr="00B2610F">
              <w:rPr>
                <w:rFonts w:ascii="Times New Roman" w:eastAsia="Times New Roman" w:hAnsi="Times New Roman"/>
                <w:sz w:val="24"/>
                <w:szCs w:val="24"/>
              </w:rPr>
              <w:t xml:space="preserve">) для автоматизованих/ </w:t>
            </w:r>
            <w:proofErr w:type="spellStart"/>
            <w:r w:rsidRPr="00B2610F">
              <w:rPr>
                <w:rFonts w:ascii="Times New Roman" w:eastAsia="Times New Roman" w:hAnsi="Times New Roman"/>
                <w:sz w:val="24"/>
                <w:szCs w:val="24"/>
              </w:rPr>
              <w:t>напівавтоматизованих</w:t>
            </w:r>
            <w:proofErr w:type="spellEnd"/>
            <w:r w:rsidRPr="00B2610F">
              <w:rPr>
                <w:rFonts w:ascii="Times New Roman" w:eastAsia="Times New Roman" w:hAnsi="Times New Roman"/>
                <w:sz w:val="24"/>
                <w:szCs w:val="24"/>
              </w:rPr>
              <w:t xml:space="preserve"> систем</w:t>
            </w:r>
          </w:p>
        </w:tc>
        <w:tc>
          <w:tcPr>
            <w:tcW w:w="2995" w:type="dxa"/>
            <w:vAlign w:val="center"/>
          </w:tcPr>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ПАР (поверхнево-активні речовини) &lt; 3 g/l</w:t>
            </w:r>
          </w:p>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Об’єм 20 л</w:t>
            </w:r>
          </w:p>
          <w:p w:rsidR="00B2610F" w:rsidRPr="00B2610F" w:rsidRDefault="00B2610F" w:rsidP="00F96E42">
            <w:pPr>
              <w:rPr>
                <w:rFonts w:ascii="Times New Roman" w:hAnsi="Times New Roman"/>
                <w:b/>
                <w:sz w:val="24"/>
                <w:szCs w:val="24"/>
              </w:rPr>
            </w:pPr>
            <w:r w:rsidRPr="00B2610F">
              <w:rPr>
                <w:rFonts w:ascii="Times New Roman" w:eastAsia="Times New Roman" w:hAnsi="Times New Roman"/>
                <w:color w:val="000000"/>
                <w:sz w:val="24"/>
                <w:szCs w:val="24"/>
              </w:rPr>
              <w:t xml:space="preserve">Готовий до використання розчин миючого засобу / </w:t>
            </w:r>
            <w:proofErr w:type="spellStart"/>
            <w:r w:rsidRPr="00B2610F">
              <w:rPr>
                <w:rFonts w:ascii="Times New Roman" w:eastAsia="Times New Roman" w:hAnsi="Times New Roman"/>
                <w:color w:val="000000"/>
                <w:sz w:val="24"/>
                <w:szCs w:val="24"/>
              </w:rPr>
              <w:t>обнулення</w:t>
            </w:r>
            <w:proofErr w:type="spellEnd"/>
            <w:r w:rsidRPr="00B2610F">
              <w:rPr>
                <w:rFonts w:ascii="Times New Roman" w:eastAsia="Times New Roman" w:hAnsi="Times New Roman"/>
                <w:color w:val="000000"/>
                <w:sz w:val="24"/>
                <w:szCs w:val="24"/>
              </w:rPr>
              <w:t xml:space="preserve"> гемоглобіну.</w:t>
            </w:r>
          </w:p>
        </w:tc>
        <w:tc>
          <w:tcPr>
            <w:tcW w:w="71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lang w:eastAsia="ar-SA"/>
              </w:rPr>
              <w:t>Шт.</w:t>
            </w:r>
          </w:p>
        </w:tc>
        <w:tc>
          <w:tcPr>
            <w:tcW w:w="481" w:type="dxa"/>
            <w:vAlign w:val="center"/>
          </w:tcPr>
          <w:p w:rsidR="00B2610F" w:rsidRPr="00B2610F" w:rsidRDefault="00B2610F" w:rsidP="00F96E42">
            <w:pPr>
              <w:jc w:val="center"/>
              <w:rPr>
                <w:rFonts w:ascii="Times New Roman" w:hAnsi="Times New Roman"/>
                <w:sz w:val="24"/>
                <w:szCs w:val="24"/>
              </w:rPr>
            </w:pPr>
            <w:r w:rsidRPr="00B2610F">
              <w:rPr>
                <w:rFonts w:ascii="Times New Roman" w:hAnsi="Times New Roman"/>
                <w:sz w:val="24"/>
                <w:szCs w:val="24"/>
              </w:rPr>
              <w:t>10</w:t>
            </w:r>
          </w:p>
        </w:tc>
        <w:tc>
          <w:tcPr>
            <w:tcW w:w="1090" w:type="dxa"/>
            <w:vAlign w:val="center"/>
          </w:tcPr>
          <w:p w:rsidR="00B2610F" w:rsidRPr="00B2610F" w:rsidRDefault="00B2610F" w:rsidP="00F96E42">
            <w:pPr>
              <w:jc w:val="center"/>
              <w:rPr>
                <w:rFonts w:ascii="Times New Roman" w:hAnsi="Times New Roman"/>
                <w:b/>
                <w:sz w:val="24"/>
                <w:szCs w:val="24"/>
              </w:rPr>
            </w:pPr>
          </w:p>
        </w:tc>
      </w:tr>
      <w:tr w:rsidR="00B2610F" w:rsidRPr="00B2610F" w:rsidTr="00B2610F">
        <w:trPr>
          <w:trHeight w:val="710"/>
        </w:trPr>
        <w:tc>
          <w:tcPr>
            <w:tcW w:w="561"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rPr>
              <w:t>3</w:t>
            </w:r>
          </w:p>
        </w:tc>
        <w:tc>
          <w:tcPr>
            <w:tcW w:w="2079" w:type="dxa"/>
            <w:vAlign w:val="center"/>
          </w:tcPr>
          <w:p w:rsidR="00B2610F" w:rsidRPr="00B2610F" w:rsidRDefault="00B2610F" w:rsidP="00F96E42">
            <w:pPr>
              <w:rPr>
                <w:rFonts w:ascii="Times New Roman" w:hAnsi="Times New Roman"/>
                <w:b/>
                <w:sz w:val="24"/>
                <w:szCs w:val="24"/>
              </w:rPr>
            </w:pPr>
            <w:proofErr w:type="spellStart"/>
            <w:r w:rsidRPr="00B2610F">
              <w:rPr>
                <w:rFonts w:ascii="Times New Roman" w:hAnsi="Times New Roman"/>
                <w:sz w:val="24"/>
                <w:szCs w:val="24"/>
              </w:rPr>
              <w:t>Лайз</w:t>
            </w:r>
            <w:proofErr w:type="spellEnd"/>
            <w:r w:rsidRPr="00B2610F">
              <w:rPr>
                <w:rFonts w:ascii="Times New Roman" w:hAnsi="Times New Roman"/>
                <w:sz w:val="24"/>
                <w:szCs w:val="24"/>
              </w:rPr>
              <w:t xml:space="preserve"> 3 </w:t>
            </w:r>
            <w:proofErr w:type="spellStart"/>
            <w:r w:rsidRPr="00B2610F">
              <w:rPr>
                <w:rFonts w:ascii="Times New Roman" w:hAnsi="Times New Roman"/>
                <w:sz w:val="24"/>
                <w:szCs w:val="24"/>
              </w:rPr>
              <w:t>Діф</w:t>
            </w:r>
            <w:proofErr w:type="spellEnd"/>
            <w:r w:rsidRPr="00B2610F">
              <w:rPr>
                <w:rFonts w:ascii="Times New Roman" w:hAnsi="Times New Roman"/>
                <w:sz w:val="24"/>
                <w:szCs w:val="24"/>
              </w:rPr>
              <w:t xml:space="preserve"> H3, 0.5 л</w:t>
            </w:r>
          </w:p>
        </w:tc>
        <w:tc>
          <w:tcPr>
            <w:tcW w:w="2180" w:type="dxa"/>
            <w:vAlign w:val="center"/>
          </w:tcPr>
          <w:p w:rsidR="00B2610F" w:rsidRPr="00B2610F" w:rsidRDefault="00B2610F" w:rsidP="00F96E42">
            <w:pPr>
              <w:rPr>
                <w:rFonts w:ascii="Times New Roman" w:hAnsi="Times New Roman"/>
                <w:b/>
                <w:sz w:val="24"/>
                <w:szCs w:val="24"/>
              </w:rPr>
            </w:pPr>
            <w:r w:rsidRPr="00B2610F">
              <w:rPr>
                <w:rFonts w:ascii="Times New Roman" w:eastAsia="Times New Roman" w:hAnsi="Times New Roman"/>
                <w:sz w:val="24"/>
                <w:szCs w:val="24"/>
              </w:rPr>
              <w:t xml:space="preserve">61165 – Реагент для лізису клітин крові IVD (діагностика </w:t>
            </w:r>
            <w:proofErr w:type="spellStart"/>
            <w:r w:rsidRPr="00B2610F">
              <w:rPr>
                <w:rFonts w:ascii="Times New Roman" w:eastAsia="Times New Roman" w:hAnsi="Times New Roman"/>
                <w:sz w:val="24"/>
                <w:szCs w:val="24"/>
              </w:rPr>
              <w:t>in</w:t>
            </w:r>
            <w:proofErr w:type="spellEnd"/>
            <w:r w:rsidRPr="00B2610F">
              <w:rPr>
                <w:rFonts w:ascii="Times New Roman" w:eastAsia="Times New Roman" w:hAnsi="Times New Roman"/>
                <w:sz w:val="24"/>
                <w:szCs w:val="24"/>
              </w:rPr>
              <w:t xml:space="preserve"> </w:t>
            </w:r>
            <w:proofErr w:type="spellStart"/>
            <w:r w:rsidRPr="00B2610F">
              <w:rPr>
                <w:rFonts w:ascii="Times New Roman" w:eastAsia="Times New Roman" w:hAnsi="Times New Roman"/>
                <w:sz w:val="24"/>
                <w:szCs w:val="24"/>
              </w:rPr>
              <w:t>vitro</w:t>
            </w:r>
            <w:proofErr w:type="spellEnd"/>
            <w:r w:rsidRPr="00B2610F">
              <w:rPr>
                <w:rFonts w:ascii="Times New Roman" w:eastAsia="Times New Roman" w:hAnsi="Times New Roman"/>
                <w:sz w:val="24"/>
                <w:szCs w:val="24"/>
              </w:rPr>
              <w:t>)</w:t>
            </w:r>
          </w:p>
        </w:tc>
        <w:tc>
          <w:tcPr>
            <w:tcW w:w="2995" w:type="dxa"/>
            <w:vAlign w:val="center"/>
          </w:tcPr>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 xml:space="preserve">Четвертинний амоній </w:t>
            </w:r>
          </w:p>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Солі &lt; 5 g/l</w:t>
            </w:r>
          </w:p>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Об’єм 0,5 л</w:t>
            </w:r>
          </w:p>
          <w:p w:rsidR="00B2610F" w:rsidRPr="00B2610F" w:rsidRDefault="00B2610F" w:rsidP="00F96E42">
            <w:pPr>
              <w:rPr>
                <w:rFonts w:ascii="Times New Roman" w:hAnsi="Times New Roman"/>
                <w:b/>
                <w:sz w:val="24"/>
                <w:szCs w:val="24"/>
              </w:rPr>
            </w:pPr>
            <w:r w:rsidRPr="00B2610F">
              <w:rPr>
                <w:rFonts w:ascii="Times New Roman" w:eastAsia="Times New Roman" w:hAnsi="Times New Roman"/>
                <w:color w:val="000000"/>
                <w:sz w:val="24"/>
                <w:szCs w:val="24"/>
              </w:rPr>
              <w:t xml:space="preserve">Готовий до використання </w:t>
            </w:r>
            <w:proofErr w:type="spellStart"/>
            <w:r w:rsidRPr="00B2610F">
              <w:rPr>
                <w:rFonts w:ascii="Times New Roman" w:eastAsia="Times New Roman" w:hAnsi="Times New Roman"/>
                <w:color w:val="000000"/>
                <w:sz w:val="24"/>
                <w:szCs w:val="24"/>
              </w:rPr>
              <w:t>лізуючий</w:t>
            </w:r>
            <w:proofErr w:type="spellEnd"/>
            <w:r w:rsidRPr="00B2610F">
              <w:rPr>
                <w:rFonts w:ascii="Times New Roman" w:eastAsia="Times New Roman" w:hAnsi="Times New Roman"/>
                <w:color w:val="000000"/>
                <w:sz w:val="24"/>
                <w:szCs w:val="24"/>
              </w:rPr>
              <w:t xml:space="preserve"> розчин для гемоглобіну.</w:t>
            </w:r>
          </w:p>
        </w:tc>
        <w:tc>
          <w:tcPr>
            <w:tcW w:w="71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lang w:eastAsia="ar-SA"/>
              </w:rPr>
              <w:t>Шт.</w:t>
            </w:r>
          </w:p>
        </w:tc>
        <w:tc>
          <w:tcPr>
            <w:tcW w:w="481" w:type="dxa"/>
            <w:vAlign w:val="center"/>
          </w:tcPr>
          <w:p w:rsidR="00B2610F" w:rsidRPr="00B2610F" w:rsidRDefault="00B2610F" w:rsidP="00F96E42">
            <w:pPr>
              <w:jc w:val="center"/>
              <w:rPr>
                <w:rFonts w:ascii="Times New Roman" w:hAnsi="Times New Roman"/>
                <w:sz w:val="24"/>
                <w:szCs w:val="24"/>
              </w:rPr>
            </w:pPr>
            <w:r w:rsidRPr="00B2610F">
              <w:rPr>
                <w:rFonts w:ascii="Times New Roman" w:hAnsi="Times New Roman"/>
                <w:sz w:val="24"/>
                <w:szCs w:val="24"/>
              </w:rPr>
              <w:t>20</w:t>
            </w:r>
          </w:p>
        </w:tc>
        <w:tc>
          <w:tcPr>
            <w:tcW w:w="1090" w:type="dxa"/>
            <w:vAlign w:val="center"/>
          </w:tcPr>
          <w:p w:rsidR="00B2610F" w:rsidRPr="00B2610F" w:rsidRDefault="00B2610F" w:rsidP="00F96E42">
            <w:pPr>
              <w:jc w:val="center"/>
              <w:rPr>
                <w:rFonts w:ascii="Times New Roman" w:hAnsi="Times New Roman"/>
                <w:b/>
                <w:sz w:val="24"/>
                <w:szCs w:val="24"/>
              </w:rPr>
            </w:pPr>
          </w:p>
        </w:tc>
      </w:tr>
      <w:tr w:rsidR="00B2610F" w:rsidRPr="00B2610F" w:rsidTr="00B2610F">
        <w:trPr>
          <w:trHeight w:val="1231"/>
        </w:trPr>
        <w:tc>
          <w:tcPr>
            <w:tcW w:w="561"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rPr>
              <w:t>4</w:t>
            </w:r>
          </w:p>
        </w:tc>
        <w:tc>
          <w:tcPr>
            <w:tcW w:w="2079" w:type="dxa"/>
            <w:vAlign w:val="center"/>
          </w:tcPr>
          <w:p w:rsidR="00B2610F" w:rsidRPr="00B2610F" w:rsidRDefault="00B2610F" w:rsidP="00F96E42">
            <w:pPr>
              <w:rPr>
                <w:rFonts w:ascii="Times New Roman" w:hAnsi="Times New Roman"/>
                <w:b/>
                <w:sz w:val="24"/>
                <w:szCs w:val="24"/>
              </w:rPr>
            </w:pPr>
            <w:r w:rsidRPr="00B2610F">
              <w:rPr>
                <w:rFonts w:ascii="Times New Roman" w:hAnsi="Times New Roman"/>
                <w:sz w:val="24"/>
                <w:szCs w:val="24"/>
              </w:rPr>
              <w:t xml:space="preserve">Миючий розчин </w:t>
            </w:r>
            <w:proofErr w:type="spellStart"/>
            <w:r w:rsidRPr="00B2610F">
              <w:rPr>
                <w:rFonts w:ascii="Times New Roman" w:hAnsi="Times New Roman"/>
                <w:sz w:val="24"/>
                <w:szCs w:val="24"/>
              </w:rPr>
              <w:t>Diaclair</w:t>
            </w:r>
            <w:proofErr w:type="spellEnd"/>
            <w:r w:rsidRPr="00B2610F">
              <w:rPr>
                <w:rFonts w:ascii="Times New Roman" w:hAnsi="Times New Roman"/>
                <w:sz w:val="24"/>
                <w:szCs w:val="24"/>
              </w:rPr>
              <w:t>/</w:t>
            </w:r>
            <w:proofErr w:type="spellStart"/>
            <w:r w:rsidRPr="00B2610F">
              <w:rPr>
                <w:rFonts w:ascii="Times New Roman" w:hAnsi="Times New Roman"/>
                <w:sz w:val="24"/>
                <w:szCs w:val="24"/>
              </w:rPr>
              <w:t>Діаклєр</w:t>
            </w:r>
            <w:proofErr w:type="spellEnd"/>
            <w:r w:rsidRPr="00B2610F">
              <w:rPr>
                <w:rFonts w:ascii="Times New Roman" w:hAnsi="Times New Roman"/>
                <w:sz w:val="24"/>
                <w:szCs w:val="24"/>
              </w:rPr>
              <w:t xml:space="preserve"> 1л</w:t>
            </w:r>
          </w:p>
        </w:tc>
        <w:tc>
          <w:tcPr>
            <w:tcW w:w="2180" w:type="dxa"/>
            <w:vAlign w:val="center"/>
          </w:tcPr>
          <w:p w:rsidR="00B2610F" w:rsidRPr="00B2610F" w:rsidRDefault="00B2610F" w:rsidP="00F96E42">
            <w:pPr>
              <w:rPr>
                <w:rFonts w:ascii="Times New Roman" w:hAnsi="Times New Roman"/>
                <w:b/>
                <w:sz w:val="24"/>
                <w:szCs w:val="24"/>
              </w:rPr>
            </w:pPr>
            <w:r w:rsidRPr="00B2610F">
              <w:rPr>
                <w:rFonts w:ascii="Times New Roman" w:eastAsia="Times New Roman" w:hAnsi="Times New Roman"/>
                <w:sz w:val="24"/>
                <w:szCs w:val="24"/>
              </w:rPr>
              <w:t xml:space="preserve">59058 – </w:t>
            </w:r>
            <w:r w:rsidRPr="00B2610F">
              <w:rPr>
                <w:sz w:val="24"/>
                <w:szCs w:val="24"/>
              </w:rPr>
              <w:t xml:space="preserve"> </w:t>
            </w:r>
            <w:r w:rsidRPr="00B2610F">
              <w:rPr>
                <w:rFonts w:ascii="Times New Roman" w:eastAsia="Times New Roman" w:hAnsi="Times New Roman"/>
                <w:sz w:val="24"/>
                <w:szCs w:val="24"/>
              </w:rPr>
              <w:t xml:space="preserve">Мийний/ очищувальний розчин IVD (діагностика </w:t>
            </w:r>
            <w:proofErr w:type="spellStart"/>
            <w:r w:rsidRPr="00B2610F">
              <w:rPr>
                <w:rFonts w:ascii="Times New Roman" w:eastAsia="Times New Roman" w:hAnsi="Times New Roman"/>
                <w:sz w:val="24"/>
                <w:szCs w:val="24"/>
              </w:rPr>
              <w:t>in</w:t>
            </w:r>
            <w:proofErr w:type="spellEnd"/>
            <w:r w:rsidRPr="00B2610F">
              <w:rPr>
                <w:rFonts w:ascii="Times New Roman" w:eastAsia="Times New Roman" w:hAnsi="Times New Roman"/>
                <w:sz w:val="24"/>
                <w:szCs w:val="24"/>
              </w:rPr>
              <w:t xml:space="preserve"> </w:t>
            </w:r>
            <w:proofErr w:type="spellStart"/>
            <w:r w:rsidRPr="00B2610F">
              <w:rPr>
                <w:rFonts w:ascii="Times New Roman" w:eastAsia="Times New Roman" w:hAnsi="Times New Roman"/>
                <w:sz w:val="24"/>
                <w:szCs w:val="24"/>
              </w:rPr>
              <w:t>vitro</w:t>
            </w:r>
            <w:proofErr w:type="spellEnd"/>
            <w:r w:rsidRPr="00B2610F">
              <w:rPr>
                <w:rFonts w:ascii="Times New Roman" w:eastAsia="Times New Roman" w:hAnsi="Times New Roman"/>
                <w:sz w:val="24"/>
                <w:szCs w:val="24"/>
              </w:rPr>
              <w:t xml:space="preserve">) для автоматизованих/ </w:t>
            </w:r>
            <w:proofErr w:type="spellStart"/>
            <w:r w:rsidRPr="00B2610F">
              <w:rPr>
                <w:rFonts w:ascii="Times New Roman" w:eastAsia="Times New Roman" w:hAnsi="Times New Roman"/>
                <w:sz w:val="24"/>
                <w:szCs w:val="24"/>
              </w:rPr>
              <w:t>напівавтоматизованих</w:t>
            </w:r>
            <w:proofErr w:type="spellEnd"/>
            <w:r w:rsidRPr="00B2610F">
              <w:rPr>
                <w:rFonts w:ascii="Times New Roman" w:eastAsia="Times New Roman" w:hAnsi="Times New Roman"/>
                <w:sz w:val="24"/>
                <w:szCs w:val="24"/>
              </w:rPr>
              <w:t xml:space="preserve"> систем</w:t>
            </w:r>
          </w:p>
        </w:tc>
        <w:tc>
          <w:tcPr>
            <w:tcW w:w="2995" w:type="dxa"/>
            <w:vAlign w:val="center"/>
          </w:tcPr>
          <w:p w:rsidR="00B2610F" w:rsidRPr="00B2610F" w:rsidRDefault="00B2610F" w:rsidP="00F96E42">
            <w:pPr>
              <w:rPr>
                <w:rFonts w:ascii="Times New Roman" w:eastAsia="Times New Roman" w:hAnsi="Times New Roman"/>
                <w:color w:val="000000"/>
                <w:sz w:val="24"/>
                <w:szCs w:val="24"/>
              </w:rPr>
            </w:pPr>
            <w:proofErr w:type="spellStart"/>
            <w:r w:rsidRPr="00B2610F">
              <w:rPr>
                <w:rFonts w:ascii="Times New Roman" w:eastAsia="Times New Roman" w:hAnsi="Times New Roman"/>
                <w:color w:val="000000"/>
                <w:sz w:val="24"/>
                <w:szCs w:val="24"/>
              </w:rPr>
              <w:t>Гіпохлорид</w:t>
            </w:r>
            <w:proofErr w:type="spellEnd"/>
            <w:r w:rsidRPr="00B2610F">
              <w:rPr>
                <w:rFonts w:ascii="Times New Roman" w:eastAsia="Times New Roman" w:hAnsi="Times New Roman"/>
                <w:color w:val="000000"/>
                <w:sz w:val="24"/>
                <w:szCs w:val="24"/>
              </w:rPr>
              <w:t xml:space="preserve"> натрію &lt;0,6%</w:t>
            </w:r>
          </w:p>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Гідроксид натрію &lt; 1,0%</w:t>
            </w:r>
          </w:p>
          <w:p w:rsidR="00B2610F" w:rsidRPr="00B2610F" w:rsidRDefault="00B2610F" w:rsidP="00F96E42">
            <w:pPr>
              <w:rPr>
                <w:rFonts w:ascii="Times New Roman" w:eastAsia="Times New Roman" w:hAnsi="Times New Roman"/>
                <w:color w:val="000000"/>
                <w:sz w:val="24"/>
                <w:szCs w:val="24"/>
              </w:rPr>
            </w:pPr>
            <w:r w:rsidRPr="00B2610F">
              <w:rPr>
                <w:rFonts w:ascii="Times New Roman" w:eastAsia="Times New Roman" w:hAnsi="Times New Roman"/>
                <w:color w:val="000000"/>
                <w:sz w:val="24"/>
                <w:szCs w:val="24"/>
              </w:rPr>
              <w:t>Детергент &lt; 1,0%</w:t>
            </w:r>
          </w:p>
        </w:tc>
        <w:tc>
          <w:tcPr>
            <w:tcW w:w="71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lang w:eastAsia="ar-SA"/>
              </w:rPr>
              <w:t>Шт.</w:t>
            </w:r>
          </w:p>
        </w:tc>
        <w:tc>
          <w:tcPr>
            <w:tcW w:w="481" w:type="dxa"/>
            <w:vAlign w:val="center"/>
          </w:tcPr>
          <w:p w:rsidR="00B2610F" w:rsidRPr="00B2610F" w:rsidRDefault="00B2610F" w:rsidP="00F96E42">
            <w:pPr>
              <w:jc w:val="center"/>
              <w:rPr>
                <w:rFonts w:ascii="Times New Roman" w:hAnsi="Times New Roman"/>
                <w:sz w:val="24"/>
                <w:szCs w:val="24"/>
              </w:rPr>
            </w:pPr>
            <w:r w:rsidRPr="00B2610F">
              <w:rPr>
                <w:rFonts w:ascii="Times New Roman" w:hAnsi="Times New Roman"/>
                <w:sz w:val="24"/>
                <w:szCs w:val="24"/>
              </w:rPr>
              <w:t>5</w:t>
            </w:r>
          </w:p>
        </w:tc>
        <w:tc>
          <w:tcPr>
            <w:tcW w:w="1090" w:type="dxa"/>
            <w:vAlign w:val="center"/>
          </w:tcPr>
          <w:p w:rsidR="00B2610F" w:rsidRPr="00B2610F" w:rsidRDefault="00B2610F" w:rsidP="00F96E42">
            <w:pPr>
              <w:jc w:val="center"/>
              <w:rPr>
                <w:rFonts w:ascii="Times New Roman" w:hAnsi="Times New Roman"/>
                <w:b/>
                <w:sz w:val="24"/>
                <w:szCs w:val="24"/>
              </w:rPr>
            </w:pPr>
          </w:p>
        </w:tc>
      </w:tr>
      <w:tr w:rsidR="00B2610F" w:rsidRPr="00B2610F" w:rsidTr="00B2610F">
        <w:trPr>
          <w:trHeight w:val="1416"/>
        </w:trPr>
        <w:tc>
          <w:tcPr>
            <w:tcW w:w="561" w:type="dxa"/>
            <w:vAlign w:val="center"/>
          </w:tcPr>
          <w:p w:rsidR="00B2610F" w:rsidRPr="00B2610F" w:rsidRDefault="00B2610F" w:rsidP="00F96E42">
            <w:pPr>
              <w:jc w:val="center"/>
              <w:rPr>
                <w:rFonts w:ascii="Times New Roman" w:hAnsi="Times New Roman"/>
                <w:sz w:val="24"/>
                <w:szCs w:val="24"/>
              </w:rPr>
            </w:pPr>
            <w:r w:rsidRPr="00B2610F">
              <w:rPr>
                <w:rFonts w:ascii="Times New Roman" w:hAnsi="Times New Roman"/>
                <w:sz w:val="24"/>
                <w:szCs w:val="24"/>
              </w:rPr>
              <w:t>5</w:t>
            </w:r>
          </w:p>
        </w:tc>
        <w:tc>
          <w:tcPr>
            <w:tcW w:w="2079" w:type="dxa"/>
            <w:vAlign w:val="center"/>
          </w:tcPr>
          <w:p w:rsidR="00B2610F" w:rsidRPr="00B2610F" w:rsidRDefault="00B2610F" w:rsidP="00F96E42">
            <w:pPr>
              <w:rPr>
                <w:rFonts w:ascii="Times New Roman" w:hAnsi="Times New Roman"/>
                <w:sz w:val="24"/>
                <w:szCs w:val="24"/>
              </w:rPr>
            </w:pPr>
            <w:r w:rsidRPr="00B2610F">
              <w:rPr>
                <w:rFonts w:ascii="Times New Roman" w:hAnsi="Times New Roman"/>
                <w:sz w:val="24"/>
                <w:szCs w:val="24"/>
              </w:rPr>
              <w:t>Контрольний матеріал CBC-3D, 2.0 мл, нормальний рівень</w:t>
            </w:r>
          </w:p>
        </w:tc>
        <w:tc>
          <w:tcPr>
            <w:tcW w:w="2180" w:type="dxa"/>
            <w:vAlign w:val="center"/>
          </w:tcPr>
          <w:p w:rsidR="00B2610F" w:rsidRPr="00B2610F" w:rsidRDefault="00B2610F" w:rsidP="00F96E42">
            <w:pPr>
              <w:rPr>
                <w:rFonts w:ascii="Times New Roman" w:hAnsi="Times New Roman"/>
                <w:b/>
                <w:sz w:val="24"/>
                <w:szCs w:val="24"/>
              </w:rPr>
            </w:pPr>
            <w:r w:rsidRPr="00B2610F">
              <w:rPr>
                <w:rFonts w:ascii="Times New Roman" w:eastAsia="Times New Roman" w:hAnsi="Times New Roman"/>
                <w:sz w:val="24"/>
                <w:szCs w:val="24"/>
              </w:rPr>
              <w:t xml:space="preserve">55866 – Підрахунок клітин крові IVD (діагностика </w:t>
            </w:r>
            <w:proofErr w:type="spellStart"/>
            <w:r w:rsidRPr="00B2610F">
              <w:rPr>
                <w:rFonts w:ascii="Times New Roman" w:eastAsia="Times New Roman" w:hAnsi="Times New Roman"/>
                <w:sz w:val="24"/>
                <w:szCs w:val="24"/>
              </w:rPr>
              <w:t>in</w:t>
            </w:r>
            <w:proofErr w:type="spellEnd"/>
            <w:r w:rsidRPr="00B2610F">
              <w:rPr>
                <w:rFonts w:ascii="Times New Roman" w:eastAsia="Times New Roman" w:hAnsi="Times New Roman"/>
                <w:sz w:val="24"/>
                <w:szCs w:val="24"/>
              </w:rPr>
              <w:t xml:space="preserve"> </w:t>
            </w:r>
            <w:proofErr w:type="spellStart"/>
            <w:r w:rsidRPr="00B2610F">
              <w:rPr>
                <w:rFonts w:ascii="Times New Roman" w:eastAsia="Times New Roman" w:hAnsi="Times New Roman"/>
                <w:sz w:val="24"/>
                <w:szCs w:val="24"/>
              </w:rPr>
              <w:t>vitro</w:t>
            </w:r>
            <w:proofErr w:type="spellEnd"/>
            <w:r w:rsidRPr="00B2610F">
              <w:rPr>
                <w:rFonts w:ascii="Times New Roman" w:eastAsia="Times New Roman" w:hAnsi="Times New Roman"/>
                <w:sz w:val="24"/>
                <w:szCs w:val="24"/>
              </w:rPr>
              <w:t xml:space="preserve"> ), контрольний матеріал</w:t>
            </w:r>
          </w:p>
        </w:tc>
        <w:tc>
          <w:tcPr>
            <w:tcW w:w="2995" w:type="dxa"/>
            <w:vAlign w:val="center"/>
          </w:tcPr>
          <w:p w:rsidR="00B2610F" w:rsidRPr="00B2610F" w:rsidRDefault="00B2610F" w:rsidP="00F96E42">
            <w:pPr>
              <w:rPr>
                <w:rFonts w:ascii="Times New Roman" w:hAnsi="Times New Roman"/>
                <w:sz w:val="24"/>
                <w:szCs w:val="24"/>
              </w:rPr>
            </w:pPr>
            <w:r w:rsidRPr="00B2610F">
              <w:rPr>
                <w:rFonts w:ascii="Times New Roman" w:hAnsi="Times New Roman"/>
                <w:sz w:val="24"/>
                <w:szCs w:val="24"/>
              </w:rPr>
              <w:t>Тільки для діагностики «</w:t>
            </w:r>
            <w:proofErr w:type="spellStart"/>
            <w:r w:rsidRPr="00B2610F">
              <w:rPr>
                <w:rFonts w:ascii="Times New Roman" w:hAnsi="Times New Roman"/>
                <w:sz w:val="24"/>
                <w:szCs w:val="24"/>
              </w:rPr>
              <w:t>іn</w:t>
            </w:r>
            <w:proofErr w:type="spellEnd"/>
            <w:r w:rsidRPr="00B2610F">
              <w:rPr>
                <w:rFonts w:ascii="Times New Roman" w:hAnsi="Times New Roman"/>
                <w:sz w:val="24"/>
                <w:szCs w:val="24"/>
              </w:rPr>
              <w:t xml:space="preserve"> </w:t>
            </w:r>
            <w:proofErr w:type="spellStart"/>
            <w:r w:rsidRPr="00B2610F">
              <w:rPr>
                <w:rFonts w:ascii="Times New Roman" w:hAnsi="Times New Roman"/>
                <w:sz w:val="24"/>
                <w:szCs w:val="24"/>
              </w:rPr>
              <w:t>vitro</w:t>
            </w:r>
            <w:proofErr w:type="spellEnd"/>
            <w:r w:rsidRPr="00B2610F">
              <w:rPr>
                <w:rFonts w:ascii="Times New Roman" w:hAnsi="Times New Roman"/>
                <w:sz w:val="24"/>
                <w:szCs w:val="24"/>
              </w:rPr>
              <w:t xml:space="preserve">», використовується як контрольний матеріал на автоматичних гематологічних аналізаторах Контрольний матеріал може містити один або всі наступні компоненти: стабілізовані еритроцити, лейкоцити і тромбоцити людини і/або ссавців, або їх імітатори, інші клітини </w:t>
            </w:r>
            <w:r w:rsidRPr="00B2610F">
              <w:rPr>
                <w:rFonts w:ascii="Times New Roman" w:hAnsi="Times New Roman"/>
                <w:sz w:val="24"/>
                <w:szCs w:val="24"/>
              </w:rPr>
              <w:lastRenderedPageBreak/>
              <w:t>крові в розчині з консервантами і стабілізаторами.</w:t>
            </w:r>
          </w:p>
          <w:p w:rsidR="00B2610F" w:rsidRPr="00B2610F" w:rsidRDefault="00B2610F" w:rsidP="00F96E42">
            <w:pPr>
              <w:rPr>
                <w:rFonts w:ascii="Times New Roman" w:hAnsi="Times New Roman"/>
                <w:sz w:val="24"/>
                <w:szCs w:val="24"/>
              </w:rPr>
            </w:pPr>
            <w:r w:rsidRPr="00B2610F">
              <w:rPr>
                <w:rFonts w:ascii="Times New Roman" w:hAnsi="Times New Roman"/>
                <w:sz w:val="24"/>
                <w:szCs w:val="24"/>
              </w:rPr>
              <w:t>Стабільність після відкривання пробірки: від 8 до 21 діб. Об’єм 2 мл</w:t>
            </w:r>
          </w:p>
        </w:tc>
        <w:tc>
          <w:tcPr>
            <w:tcW w:w="719" w:type="dxa"/>
            <w:vAlign w:val="center"/>
          </w:tcPr>
          <w:p w:rsidR="00B2610F" w:rsidRPr="00B2610F" w:rsidRDefault="00B2610F" w:rsidP="00F96E42">
            <w:pPr>
              <w:jc w:val="center"/>
              <w:rPr>
                <w:rFonts w:ascii="Times New Roman" w:hAnsi="Times New Roman"/>
                <w:b/>
                <w:sz w:val="24"/>
                <w:szCs w:val="24"/>
              </w:rPr>
            </w:pPr>
            <w:r w:rsidRPr="00B2610F">
              <w:rPr>
                <w:rFonts w:ascii="Times New Roman" w:eastAsia="Times New Roman" w:hAnsi="Times New Roman"/>
                <w:sz w:val="24"/>
                <w:szCs w:val="24"/>
                <w:lang w:eastAsia="ar-SA"/>
              </w:rPr>
              <w:lastRenderedPageBreak/>
              <w:t>Шт.</w:t>
            </w:r>
          </w:p>
        </w:tc>
        <w:tc>
          <w:tcPr>
            <w:tcW w:w="481" w:type="dxa"/>
            <w:vAlign w:val="center"/>
          </w:tcPr>
          <w:p w:rsidR="00B2610F" w:rsidRPr="00B2610F" w:rsidRDefault="00B2610F" w:rsidP="00F96E42">
            <w:pPr>
              <w:jc w:val="center"/>
              <w:rPr>
                <w:rFonts w:ascii="Times New Roman" w:hAnsi="Times New Roman"/>
                <w:sz w:val="24"/>
                <w:szCs w:val="24"/>
              </w:rPr>
            </w:pPr>
            <w:r w:rsidRPr="00B2610F">
              <w:rPr>
                <w:rFonts w:ascii="Times New Roman" w:hAnsi="Times New Roman"/>
                <w:sz w:val="24"/>
                <w:szCs w:val="24"/>
              </w:rPr>
              <w:t>25</w:t>
            </w:r>
          </w:p>
        </w:tc>
        <w:tc>
          <w:tcPr>
            <w:tcW w:w="1090" w:type="dxa"/>
            <w:vAlign w:val="center"/>
          </w:tcPr>
          <w:p w:rsidR="00B2610F" w:rsidRPr="00B2610F" w:rsidRDefault="00B2610F" w:rsidP="00F96E42">
            <w:pPr>
              <w:jc w:val="center"/>
              <w:rPr>
                <w:rFonts w:ascii="Times New Roman" w:hAnsi="Times New Roman"/>
                <w:b/>
                <w:sz w:val="24"/>
                <w:szCs w:val="24"/>
              </w:rPr>
            </w:pPr>
          </w:p>
        </w:tc>
      </w:tr>
    </w:tbl>
    <w:p w:rsidR="00A177AD" w:rsidRPr="00B2610F" w:rsidRDefault="00A177AD">
      <w:pPr>
        <w:spacing w:after="0" w:line="240" w:lineRule="auto"/>
        <w:rPr>
          <w:rFonts w:ascii="Times New Roman" w:eastAsia="Times New Roman" w:hAnsi="Times New Roman" w:cs="Times New Roman"/>
          <w:i/>
          <w:sz w:val="24"/>
          <w:szCs w:val="24"/>
          <w:highlight w:val="white"/>
        </w:rPr>
      </w:pPr>
    </w:p>
    <w:p w:rsidR="00B2610F" w:rsidRPr="00B2610F" w:rsidRDefault="00B2610F" w:rsidP="00B2610F">
      <w:pPr>
        <w:suppressAutoHyphens/>
        <w:overflowPunct w:val="0"/>
        <w:jc w:val="both"/>
        <w:rPr>
          <w:rFonts w:ascii="Times New Roman" w:hAnsi="Times New Roman"/>
          <w:b/>
          <w:bCs/>
          <w:sz w:val="24"/>
          <w:szCs w:val="24"/>
        </w:rPr>
      </w:pPr>
      <w:r w:rsidRPr="00B2610F">
        <w:rPr>
          <w:rFonts w:ascii="Times New Roman" w:hAnsi="Times New Roman"/>
          <w:b/>
          <w:bCs/>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“еквівалент”.</w:t>
      </w:r>
    </w:p>
    <w:p w:rsidR="00B2610F" w:rsidRPr="00B2610F" w:rsidRDefault="00B2610F" w:rsidP="00B2610F">
      <w:pPr>
        <w:widowControl w:val="0"/>
        <w:autoSpaceDE w:val="0"/>
        <w:autoSpaceDN w:val="0"/>
        <w:adjustRightInd w:val="0"/>
        <w:spacing w:after="0" w:line="240" w:lineRule="auto"/>
        <w:ind w:firstLine="567"/>
        <w:jc w:val="center"/>
        <w:rPr>
          <w:rFonts w:ascii="Times New Roman" w:eastAsia="Times New Roman" w:hAnsi="Times New Roman"/>
          <w:b/>
          <w:sz w:val="24"/>
          <w:szCs w:val="24"/>
        </w:rPr>
      </w:pPr>
      <w:r w:rsidRPr="00B2610F">
        <w:rPr>
          <w:rFonts w:ascii="Times New Roman" w:eastAsia="Times New Roman" w:hAnsi="Times New Roman"/>
          <w:b/>
          <w:sz w:val="24"/>
          <w:szCs w:val="24"/>
        </w:rPr>
        <w:t>Технічна специфікація</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1.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 </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2. Учасник повинен надати у складі тендерної пропозиції </w:t>
      </w:r>
      <w:proofErr w:type="spellStart"/>
      <w:r w:rsidRPr="00B2610F">
        <w:rPr>
          <w:rFonts w:ascii="Times New Roman" w:eastAsia="MS Mincho" w:hAnsi="Times New Roman"/>
          <w:sz w:val="24"/>
          <w:szCs w:val="24"/>
        </w:rPr>
        <w:t>скан</w:t>
      </w:r>
      <w:proofErr w:type="spellEnd"/>
      <w:r w:rsidRPr="00B2610F">
        <w:rPr>
          <w:rFonts w:ascii="Times New Roman" w:eastAsia="MS Mincho" w:hAnsi="Times New Roman"/>
          <w:sz w:val="24"/>
          <w:szCs w:val="24"/>
        </w:rPr>
        <w:t>-копію дозволу (ліцензії) відповідного органу на провадження такого виду діяльності або лист-пояснення про відсутність потреби у такому дозволі.</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3.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w:t>
      </w:r>
      <w:r w:rsidRPr="00B2610F">
        <w:rPr>
          <w:rFonts w:ascii="Times New Roman" w:eastAsia="MS Mincho" w:hAnsi="Times New Roman"/>
          <w:b/>
          <w:bCs/>
          <w:sz w:val="24"/>
          <w:szCs w:val="24"/>
        </w:rPr>
        <w:t>(надати гарантійний лист в довільній формі).</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4. Учасник повинен надати гарантійний лист, що термін придатності на момент поставки Товару складатиме не менше 75% від загального терміну придатності, визначеного виробником та що на момент поставки Товару разом з первинними документами Постачальник </w:t>
      </w:r>
      <w:proofErr w:type="spellStart"/>
      <w:r w:rsidRPr="00B2610F">
        <w:rPr>
          <w:rFonts w:ascii="Times New Roman" w:eastAsia="MS Mincho" w:hAnsi="Times New Roman"/>
          <w:sz w:val="24"/>
          <w:szCs w:val="24"/>
        </w:rPr>
        <w:t>надасть</w:t>
      </w:r>
      <w:proofErr w:type="spellEnd"/>
      <w:r w:rsidRPr="00B2610F">
        <w:rPr>
          <w:rFonts w:ascii="Times New Roman" w:eastAsia="MS Mincho" w:hAnsi="Times New Roman"/>
          <w:sz w:val="24"/>
          <w:szCs w:val="24"/>
        </w:rPr>
        <w:t xml:space="preserve"> документ, що підтверджує термін придатності Товару </w:t>
      </w:r>
      <w:r w:rsidRPr="00B2610F">
        <w:rPr>
          <w:rFonts w:ascii="Times New Roman" w:eastAsia="MS Mincho" w:hAnsi="Times New Roman"/>
          <w:b/>
          <w:bCs/>
          <w:sz w:val="24"/>
          <w:szCs w:val="24"/>
        </w:rPr>
        <w:t>(надати гарантійний лист в довільній формі).</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5. Всі вказані витратні матеріали мають бути дозволені до застосування на території України. В підтвердження Постачальник повинен надати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 </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6. З метою запобігання закупівлі фальсифікатів та отримання гарантій на своєчасне постачання тов</w:t>
      </w:r>
      <w:bookmarkStart w:id="0" w:name="_GoBack"/>
      <w:bookmarkEnd w:id="0"/>
      <w:r w:rsidRPr="00B2610F">
        <w:rPr>
          <w:rFonts w:ascii="Times New Roman" w:eastAsia="MS Mincho" w:hAnsi="Times New Roman"/>
          <w:sz w:val="24"/>
          <w:szCs w:val="24"/>
        </w:rPr>
        <w:t>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w:t>
      </w:r>
      <w:r w:rsidRPr="00B2610F">
        <w:rPr>
          <w:rFonts w:ascii="Times New Roman" w:eastAsia="MS Mincho" w:hAnsi="Times New Roman"/>
          <w:b/>
          <w:bCs/>
          <w:sz w:val="24"/>
          <w:szCs w:val="24"/>
        </w:rPr>
        <w:t xml:space="preserve"> (надається у складі тендерної пропозиції).</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7. Строк поставки Товару – протягом 10 (десяти) робочих днів з моменту надання заявки. Заявка подається Замовником шляхом направлення на офіційну електронну адресу Постачальника. Поставка Товару здійснюється транспортом Постачальника, Транспортні витрати та розвантаження за рахунок учасника </w:t>
      </w:r>
      <w:r w:rsidRPr="00B2610F">
        <w:rPr>
          <w:rFonts w:ascii="Times New Roman" w:eastAsia="MS Mincho" w:hAnsi="Times New Roman"/>
          <w:b/>
          <w:bCs/>
          <w:sz w:val="24"/>
          <w:szCs w:val="24"/>
        </w:rPr>
        <w:t>(надати гарантійний лист в довільній формі)</w:t>
      </w:r>
      <w:r w:rsidRPr="00B2610F">
        <w:rPr>
          <w:rFonts w:ascii="Times New Roman" w:eastAsia="MS Mincho" w:hAnsi="Times New Roman"/>
          <w:sz w:val="24"/>
          <w:szCs w:val="24"/>
        </w:rPr>
        <w:t>.</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8. Під час кожної поставки Товару Постачальник надає Замовнику </w:t>
      </w:r>
      <w:r w:rsidRPr="00B2610F">
        <w:rPr>
          <w:rFonts w:ascii="Times New Roman" w:eastAsia="MS Mincho" w:hAnsi="Times New Roman"/>
          <w:b/>
          <w:bCs/>
          <w:sz w:val="24"/>
          <w:szCs w:val="24"/>
        </w:rPr>
        <w:t>(надати гарантійний лист в довільній формі)</w:t>
      </w:r>
      <w:r w:rsidRPr="00B2610F">
        <w:rPr>
          <w:rFonts w:ascii="Times New Roman" w:eastAsia="MS Mincho" w:hAnsi="Times New Roman"/>
          <w:sz w:val="24"/>
          <w:szCs w:val="24"/>
        </w:rPr>
        <w:t>:</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сертифікати або посвідчення якості, на кожну окрему партію товару оформлених відповідно чинного законодавства.</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інструкції з медичного використання лікарських засобів українською мовою.</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 xml:space="preserve">9. 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w:t>
      </w:r>
      <w:r w:rsidRPr="00B2610F">
        <w:rPr>
          <w:rFonts w:ascii="Times New Roman" w:eastAsia="MS Mincho" w:hAnsi="Times New Roman"/>
          <w:sz w:val="24"/>
          <w:szCs w:val="24"/>
        </w:rPr>
        <w:lastRenderedPageBreak/>
        <w:t xml:space="preserve">боку останнього. </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10. Постачальник несе відповідальність за постачання якісного товару та в кількості, замовленої Замовником.</w:t>
      </w:r>
    </w:p>
    <w:p w:rsidR="00B2610F" w:rsidRPr="00B2610F" w:rsidRDefault="00B2610F" w:rsidP="00B2610F">
      <w:pPr>
        <w:widowControl w:val="0"/>
        <w:autoSpaceDE w:val="0"/>
        <w:autoSpaceDN w:val="0"/>
        <w:spacing w:after="0" w:line="240" w:lineRule="auto"/>
        <w:ind w:firstLine="567"/>
        <w:jc w:val="both"/>
        <w:rPr>
          <w:rFonts w:ascii="Times New Roman" w:eastAsia="MS Mincho" w:hAnsi="Times New Roman"/>
          <w:sz w:val="24"/>
          <w:szCs w:val="24"/>
        </w:rPr>
      </w:pPr>
      <w:r w:rsidRPr="00B2610F">
        <w:rPr>
          <w:rFonts w:ascii="Times New Roman" w:eastAsia="MS Mincho" w:hAnsi="Times New Roman"/>
          <w:sz w:val="24"/>
          <w:szCs w:val="24"/>
        </w:rPr>
        <w:t>11. Тара та упаковка повинна відповідати вимогам встановленим до даного виду товару і захищати його від пошкоджень або псування під час перевезення.</w:t>
      </w:r>
    </w:p>
    <w:p w:rsidR="00B2610F" w:rsidRPr="00B2610F" w:rsidRDefault="00B2610F">
      <w:pPr>
        <w:spacing w:after="0" w:line="240" w:lineRule="auto"/>
        <w:rPr>
          <w:rFonts w:ascii="Times New Roman" w:eastAsia="Times New Roman" w:hAnsi="Times New Roman" w:cs="Times New Roman"/>
          <w:i/>
          <w:sz w:val="24"/>
          <w:szCs w:val="24"/>
          <w:highlight w:val="white"/>
        </w:rPr>
      </w:pPr>
    </w:p>
    <w:sectPr w:rsidR="00B2610F" w:rsidRPr="00B2610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04E8"/>
    <w:multiLevelType w:val="multilevel"/>
    <w:tmpl w:val="E89E7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AD"/>
    <w:rsid w:val="004511EB"/>
    <w:rsid w:val="00A177AD"/>
    <w:rsid w:val="00B261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CC73"/>
  <w15:docId w15:val="{CCD50055-9FD5-4C13-A627-FB5F6BF6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3602</Words>
  <Characters>2054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2022-08-17T14:44:00Z</dcterms:created>
  <dcterms:modified xsi:type="dcterms:W3CDTF">2024-03-19T09:55:00Z</dcterms:modified>
</cp:coreProperties>
</file>