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717C4D">
        <w:rPr>
          <w:rFonts w:ascii="Times New Roman" w:hAnsi="Times New Roman" w:cs="Times New Roman"/>
          <w:sz w:val="24"/>
          <w:szCs w:val="24"/>
          <w:lang w:val="uk-UA"/>
        </w:rPr>
        <w:t>№</w:t>
      </w:r>
      <w:r w:rsidR="001500D2" w:rsidRPr="00717C4D">
        <w:rPr>
          <w:rFonts w:ascii="Times New Roman" w:hAnsi="Times New Roman" w:cs="Times New Roman"/>
          <w:sz w:val="24"/>
          <w:szCs w:val="24"/>
          <w:lang w:val="uk-UA"/>
        </w:rPr>
        <w:t xml:space="preserve"> 23</w:t>
      </w:r>
      <w:r w:rsidRPr="00717C4D">
        <w:rPr>
          <w:rFonts w:ascii="Times New Roman" w:hAnsi="Times New Roman" w:cs="Times New Roman"/>
          <w:sz w:val="24"/>
          <w:szCs w:val="24"/>
          <w:lang w:val="uk-UA"/>
        </w:rPr>
        <w:t xml:space="preserve"> від </w:t>
      </w:r>
      <w:r w:rsidR="001500D2" w:rsidRPr="00717C4D">
        <w:rPr>
          <w:rFonts w:ascii="Times New Roman" w:hAnsi="Times New Roman" w:cs="Times New Roman"/>
          <w:sz w:val="24"/>
          <w:szCs w:val="24"/>
          <w:lang w:val="uk-UA"/>
        </w:rPr>
        <w:t>1</w:t>
      </w:r>
      <w:r w:rsidR="0089139D" w:rsidRPr="00717C4D">
        <w:rPr>
          <w:rFonts w:ascii="Times New Roman" w:hAnsi="Times New Roman" w:cs="Times New Roman"/>
          <w:sz w:val="24"/>
          <w:szCs w:val="24"/>
          <w:lang w:val="uk-UA"/>
        </w:rPr>
        <w:t>6</w:t>
      </w:r>
      <w:r w:rsidR="0052034C" w:rsidRPr="00717C4D">
        <w:rPr>
          <w:rFonts w:ascii="Times New Roman" w:hAnsi="Times New Roman" w:cs="Times New Roman"/>
          <w:sz w:val="24"/>
          <w:szCs w:val="24"/>
          <w:lang w:val="uk-UA"/>
        </w:rPr>
        <w:t xml:space="preserve"> </w:t>
      </w:r>
      <w:r w:rsidR="0089139D" w:rsidRPr="00717C4D">
        <w:rPr>
          <w:rFonts w:ascii="Times New Roman" w:hAnsi="Times New Roman" w:cs="Times New Roman"/>
          <w:sz w:val="24"/>
          <w:szCs w:val="24"/>
          <w:lang w:val="uk-UA"/>
        </w:rPr>
        <w:t xml:space="preserve">березня </w:t>
      </w:r>
      <w:r w:rsidRPr="00717C4D">
        <w:rPr>
          <w:rFonts w:ascii="Times New Roman" w:hAnsi="Times New Roman" w:cs="Times New Roman"/>
          <w:sz w:val="24"/>
          <w:szCs w:val="24"/>
          <w:lang w:val="uk-UA"/>
        </w:rPr>
        <w:t>202</w:t>
      </w:r>
      <w:r w:rsidR="007C5690" w:rsidRPr="00717C4D">
        <w:rPr>
          <w:rFonts w:ascii="Times New Roman" w:hAnsi="Times New Roman" w:cs="Times New Roman"/>
          <w:sz w:val="24"/>
          <w:szCs w:val="24"/>
          <w:lang w:val="uk-UA"/>
        </w:rPr>
        <w:t>3</w:t>
      </w:r>
      <w:r w:rsidRPr="00717C4D">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717C4D">
        <w:rPr>
          <w:b/>
          <w:color w:val="000000"/>
          <w:lang w:val="uk-UA"/>
        </w:rPr>
        <w:t>«</w:t>
      </w:r>
      <w:r w:rsidR="001500D2" w:rsidRPr="00717C4D">
        <w:rPr>
          <w:b/>
          <w:color w:val="000000"/>
          <w:lang w:val="uk-UA"/>
        </w:rPr>
        <w:t>16</w:t>
      </w:r>
      <w:r w:rsidR="001E414E" w:rsidRPr="00717C4D">
        <w:rPr>
          <w:b/>
          <w:color w:val="000000"/>
          <w:lang w:val="uk-UA"/>
        </w:rPr>
        <w:t>»</w:t>
      </w:r>
      <w:r w:rsidRPr="00717C4D">
        <w:rPr>
          <w:b/>
          <w:color w:val="000000"/>
          <w:lang w:val="uk-UA"/>
        </w:rPr>
        <w:t xml:space="preserve"> </w:t>
      </w:r>
      <w:r w:rsidR="0089139D" w:rsidRPr="00717C4D">
        <w:rPr>
          <w:b/>
          <w:color w:val="000000"/>
          <w:lang w:val="uk-UA"/>
        </w:rPr>
        <w:t>березня</w:t>
      </w:r>
      <w:r w:rsidR="009240A9" w:rsidRPr="00717C4D">
        <w:rPr>
          <w:b/>
          <w:color w:val="000000"/>
          <w:lang w:val="uk-UA"/>
        </w:rPr>
        <w:t xml:space="preserve"> 202</w:t>
      </w:r>
      <w:r w:rsidR="007C5690" w:rsidRPr="00717C4D">
        <w:rPr>
          <w:b/>
          <w:color w:val="000000"/>
          <w:lang w:val="uk-UA"/>
        </w:rPr>
        <w:t xml:space="preserve">3 </w:t>
      </w:r>
      <w:r w:rsidRPr="00717C4D">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1500D2" w:rsidRPr="001500D2" w:rsidRDefault="001500D2" w:rsidP="001500D2">
      <w:pPr>
        <w:jc w:val="center"/>
        <w:rPr>
          <w:rFonts w:eastAsia="Calibri"/>
          <w:b/>
          <w:color w:val="000000"/>
          <w:kern w:val="2"/>
          <w:sz w:val="40"/>
          <w:szCs w:val="40"/>
          <w:lang w:val="uk-UA"/>
        </w:rPr>
      </w:pPr>
      <w:r>
        <w:rPr>
          <w:rFonts w:eastAsia="Calibri"/>
          <w:b/>
          <w:color w:val="000000"/>
          <w:kern w:val="2"/>
          <w:sz w:val="40"/>
          <w:szCs w:val="40"/>
          <w:lang w:val="uk-UA"/>
        </w:rPr>
        <w:t xml:space="preserve">Фармацевтична продукція </w:t>
      </w:r>
      <w:r w:rsidRPr="001500D2">
        <w:rPr>
          <w:rFonts w:eastAsia="Calibri"/>
          <w:color w:val="000000"/>
          <w:kern w:val="2"/>
          <w:sz w:val="40"/>
          <w:szCs w:val="40"/>
          <w:lang w:val="uk-UA"/>
        </w:rPr>
        <w:t>(Лот 1(Azithromycin; Azithromycin; Amoxicillin; Amoxicillin and beta-lactamase inhibitor; Amoxicillin and beta-lactamase inhibitor; Amoxicillin and beta-lactamase inhibitor; Misoprostol; Tranexamic acid; Heparin; Propofol; Suxamethonium; Dopamine; Erythropoietin; Povidone-iodine; Lidocaine; Meropenem; Moxifloxacin; Sodium bicarbonate; Bupivacaine; Bupivacaine; Norepinephrine; Protamine; Ethanol; Ethanol; Thiopental; Diatrizoic acid; Tropicamide; Fosfomycin; Chlorhexidine; Cefotaxime)</w:t>
      </w:r>
      <w:r w:rsidRPr="001500D2">
        <w:rPr>
          <w:rFonts w:eastAsia="Calibri"/>
          <w:b/>
          <w:color w:val="000000"/>
          <w:kern w:val="2"/>
          <w:sz w:val="40"/>
          <w:szCs w:val="40"/>
          <w:lang w:val="uk-UA"/>
        </w:rPr>
        <w:t>.</w:t>
      </w:r>
    </w:p>
    <w:p w:rsidR="0052034C" w:rsidRDefault="001500D2" w:rsidP="001500D2">
      <w:pPr>
        <w:jc w:val="center"/>
        <w:rPr>
          <w:b/>
          <w:bCs/>
          <w:color w:val="000000"/>
          <w:lang w:val="uk-UA"/>
        </w:rPr>
      </w:pPr>
      <w:r w:rsidRPr="001500D2">
        <w:rPr>
          <w:rFonts w:eastAsia="Calibri"/>
          <w:b/>
          <w:color w:val="000000"/>
          <w:kern w:val="2"/>
          <w:sz w:val="40"/>
          <w:szCs w:val="40"/>
          <w:lang w:val="uk-UA"/>
        </w:rPr>
        <w:t>Код ДК 021:2015: 33600000-6 «Фармацевтична продукція»</w:t>
      </w:r>
    </w:p>
    <w:p w:rsidR="0052034C" w:rsidRDefault="0052034C" w:rsidP="001500D2">
      <w:pPr>
        <w:jc w:val="cente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717C4D" w:rsidRDefault="00717C4D" w:rsidP="00A7581D">
      <w:pPr>
        <w:rPr>
          <w:b/>
          <w:bCs/>
          <w:color w:val="000000"/>
          <w:lang w:val="uk-UA"/>
        </w:rPr>
      </w:pPr>
    </w:p>
    <w:p w:rsidR="00597E5D" w:rsidRPr="00717C4D" w:rsidRDefault="00DE1CC7" w:rsidP="003659C2">
      <w:pPr>
        <w:jc w:val="center"/>
        <w:rPr>
          <w:b/>
          <w:bCs/>
          <w:caps/>
          <w:color w:val="000000"/>
          <w:sz w:val="22"/>
          <w:szCs w:val="22"/>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sidRPr="00717C4D">
        <w:rPr>
          <w:b/>
          <w:bCs/>
          <w:caps/>
          <w:color w:val="000000"/>
          <w:sz w:val="22"/>
          <w:szCs w:val="22"/>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1500D2" w:rsidRPr="001500D2" w:rsidRDefault="001500D2" w:rsidP="001500D2">
            <w:pPr>
              <w:rPr>
                <w:b/>
                <w:bCs/>
                <w:position w:val="-2"/>
                <w:lang w:val="uk-UA" w:eastAsia="zh-CN"/>
              </w:rPr>
            </w:pPr>
            <w:r w:rsidRPr="001500D2">
              <w:rPr>
                <w:b/>
                <w:bCs/>
                <w:position w:val="-2"/>
                <w:lang w:val="uk-UA" w:eastAsia="zh-CN"/>
              </w:rPr>
              <w:t>Фармацевтична продукція (Лот 1(Azithromycin; Azithromycin; Amoxicillin; Amoxicillin and beta-lactamase inhibitor; Amoxicillin and beta-lactamase inhibitor; Amoxicillin and beta-lactamase inhibitor; Misoprostol; Tranexamic acid; Heparin; Propofol; Suxamethonium; Dopamine; Erythropoietin; Povidone-iodine; Lidocaine; Meropenem; Moxifloxacin; Sodium bicarbonate; Bupivacaine; Bupivacaine; Norepinephrine; Protamine; Ethanol; Ethanol; Thiopental; Diatrizoic acid; Tropicamide; Fosfomycin; Chlorhexidine; Cefotaxime).</w:t>
            </w:r>
          </w:p>
          <w:p w:rsidR="00DE1CC7" w:rsidRPr="0089139D" w:rsidRDefault="001500D2" w:rsidP="001500D2">
            <w:pPr>
              <w:rPr>
                <w:b/>
                <w:bCs/>
                <w:position w:val="-2"/>
                <w:lang w:val="uk-UA" w:eastAsia="zh-CN"/>
              </w:rPr>
            </w:pPr>
            <w:r w:rsidRPr="001500D2">
              <w:rPr>
                <w:b/>
                <w:bCs/>
                <w:position w:val="-2"/>
                <w:lang w:val="uk-UA" w:eastAsia="zh-CN"/>
              </w:rPr>
              <w:t>Код ДК 021:2015: 33600000-6 «Фармацевтична продукція»</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1500D2" w:rsidRPr="001500D2" w:rsidRDefault="001500D2" w:rsidP="001500D2">
            <w:pPr>
              <w:rPr>
                <w:bCs/>
                <w:position w:val="-2"/>
                <w:lang w:val="uk-UA" w:eastAsia="zh-CN"/>
              </w:rPr>
            </w:pPr>
            <w:r w:rsidRPr="001500D2">
              <w:rPr>
                <w:bCs/>
                <w:position w:val="-2"/>
                <w:lang w:val="uk-UA" w:eastAsia="zh-CN"/>
              </w:rPr>
              <w:t>Фармацевтична продукція (Лот 1(Azithromycin; Azithromycin; Amoxicillin; Amoxicillin and beta-lactamase inhibitor; Amoxicillin and beta-lactamase inhibitor; Amoxicillin and beta-lactamase inhibitor; Misoprostol; Tranexamic acid; Heparin; Propofol; Suxamethonium; Dopamine; Erythropoietin; Povidone-iodine; Lidocaine; Meropenem; Moxifloxacin; Sodium bicarbonate; Bupivacaine; Bupivacaine; Norepinephrine; Protamine; Ethanol; Ethanol; Thiopental; Diatrizoic acid; Tropicamide; Fosfomycin; Chlorhexidine; Cefotaxime).</w:t>
            </w:r>
          </w:p>
          <w:p w:rsidR="00DE1CC7" w:rsidRPr="0052034C" w:rsidRDefault="001500D2" w:rsidP="001500D2">
            <w:pPr>
              <w:rPr>
                <w:b/>
                <w:bCs/>
                <w:position w:val="-2"/>
                <w:lang w:val="uk-UA" w:eastAsia="zh-CN"/>
              </w:rPr>
            </w:pPr>
            <w:r w:rsidRPr="001500D2">
              <w:rPr>
                <w:bCs/>
                <w:position w:val="-2"/>
                <w:lang w:val="uk-UA" w:eastAsia="zh-CN"/>
              </w:rPr>
              <w:t>Код ДК 021:2015: 33600000-6 «Фармацевтична продукція»</w:t>
            </w:r>
          </w:p>
        </w:tc>
      </w:tr>
      <w:tr w:rsidR="00DE1CC7"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1500D2" w:rsidP="001500D2">
            <w:pPr>
              <w:pStyle w:val="a4"/>
              <w:spacing w:line="256" w:lineRule="auto"/>
              <w:rPr>
                <w:bCs/>
                <w:lang w:val="uk-UA"/>
              </w:rPr>
            </w:pPr>
            <w:r w:rsidRPr="001500D2">
              <w:rPr>
                <w:bCs/>
                <w:lang w:val="uk-UA"/>
              </w:rPr>
              <w:t xml:space="preserve">Фармацевтична продукція (Лот 1(Azithromycin; Azithromycin; Amoxicillin; Amoxicillin and beta-lactamase inhibitor; Amoxicillin and beta-lactamase inhibitor; Amoxicillin and beta-lactamase inhibitor; Misoprostol; Tranexamic acid; Heparin; Propofol; Suxamethonium; Dopamine; Erythropoietin; Povidone-iodine; Lidocaine; Meropenem; Moxifloxacin; Sodium bicarbonate; Bupivacaine; Bupivacaine; Norepinephrine; Protamine; Ethanol; Ethanol; Thiopental; Diatrizoic acid; </w:t>
            </w:r>
            <w:r w:rsidRPr="001500D2">
              <w:rPr>
                <w:bCs/>
                <w:lang w:val="uk-UA"/>
              </w:rPr>
              <w:lastRenderedPageBreak/>
              <w:t>Tropicamide; Fosfomyc</w:t>
            </w:r>
            <w:r>
              <w:rPr>
                <w:bCs/>
                <w:lang w:val="uk-UA"/>
              </w:rPr>
              <w:t>in; Chlorhexidine; Cefotaxime).</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lastRenderedPageBreak/>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lastRenderedPageBreak/>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color w:val="000000"/>
                <w:sz w:val="23"/>
                <w:szCs w:val="23"/>
                <w:lang w:eastAsia="en-US"/>
              </w:rPr>
              <w:lastRenderedPageBreak/>
              <w:t>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CC2F16">
              <w:rPr>
                <w:color w:val="000000"/>
                <w:sz w:val="23"/>
                <w:szCs w:val="23"/>
                <w:lang w:val="uk-UA" w:eastAsia="en-US"/>
              </w:rPr>
              <w:lastRenderedPageBreak/>
              <w:t>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717C4D">
              <w:rPr>
                <w:b/>
                <w:color w:val="000000"/>
                <w:sz w:val="23"/>
                <w:szCs w:val="23"/>
                <w:lang w:eastAsia="en-US"/>
              </w:rPr>
              <w:t xml:space="preserve">пропозицій </w:t>
            </w:r>
            <w:r w:rsidR="001500D2" w:rsidRPr="00717C4D">
              <w:rPr>
                <w:b/>
                <w:color w:val="000000"/>
                <w:sz w:val="23"/>
                <w:szCs w:val="23"/>
                <w:lang w:val="uk-UA" w:eastAsia="en-US"/>
              </w:rPr>
              <w:t>2</w:t>
            </w:r>
            <w:r w:rsidR="0089139D" w:rsidRPr="00717C4D">
              <w:rPr>
                <w:b/>
                <w:color w:val="000000"/>
                <w:sz w:val="23"/>
                <w:szCs w:val="23"/>
                <w:lang w:val="uk-UA" w:eastAsia="en-US"/>
              </w:rPr>
              <w:t>4</w:t>
            </w:r>
            <w:r w:rsidRPr="00717C4D">
              <w:rPr>
                <w:b/>
                <w:color w:val="000000"/>
                <w:sz w:val="23"/>
                <w:szCs w:val="23"/>
                <w:lang w:val="uk-UA" w:eastAsia="en-US"/>
              </w:rPr>
              <w:t>.</w:t>
            </w:r>
            <w:r w:rsidR="00CE7E39" w:rsidRPr="00717C4D">
              <w:rPr>
                <w:b/>
                <w:color w:val="000000"/>
                <w:sz w:val="23"/>
                <w:szCs w:val="23"/>
                <w:lang w:val="uk-UA" w:eastAsia="en-US"/>
              </w:rPr>
              <w:t>0</w:t>
            </w:r>
            <w:r w:rsidR="00492405" w:rsidRPr="00717C4D">
              <w:rPr>
                <w:b/>
                <w:color w:val="000000"/>
                <w:sz w:val="23"/>
                <w:szCs w:val="23"/>
                <w:lang w:val="uk-UA" w:eastAsia="en-US"/>
              </w:rPr>
              <w:t>3</w:t>
            </w:r>
            <w:r w:rsidRPr="00717C4D">
              <w:rPr>
                <w:b/>
                <w:color w:val="000000"/>
                <w:sz w:val="23"/>
                <w:szCs w:val="23"/>
                <w:lang w:val="uk-UA" w:eastAsia="en-US"/>
              </w:rPr>
              <w:t>.202</w:t>
            </w:r>
            <w:r w:rsidR="00CE7E39" w:rsidRPr="00717C4D">
              <w:rPr>
                <w:b/>
                <w:color w:val="000000"/>
                <w:sz w:val="23"/>
                <w:szCs w:val="23"/>
                <w:lang w:val="uk-UA" w:eastAsia="en-US"/>
              </w:rPr>
              <w:t>3</w:t>
            </w:r>
            <w:r w:rsidRPr="00717C4D">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CD563E">
              <w:rPr>
                <w:color w:val="000000"/>
                <w:sz w:val="23"/>
                <w:szCs w:val="23"/>
                <w:lang w:eastAsia="en-US"/>
              </w:rPr>
              <w:lastRenderedPageBreak/>
              <w:t>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У разі застосування критерію оцінки вартості життєвого циклу до такого </w:t>
            </w:r>
            <w:r w:rsidRPr="003F189A">
              <w:rPr>
                <w:color w:val="000000"/>
                <w:sz w:val="23"/>
                <w:szCs w:val="23"/>
                <w:lang w:val="uk-UA" w:eastAsia="en-US"/>
              </w:rPr>
              <w:lastRenderedPageBreak/>
              <w:t>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 xml:space="preserve">За результатами розгляду та оцінки тендерної пропозиції </w:t>
            </w:r>
            <w:r w:rsidR="00E3099E" w:rsidRPr="00E3099E">
              <w:rPr>
                <w:lang w:val="uk-UA"/>
              </w:rPr>
              <w:lastRenderedPageBreak/>
              <w:t>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w:t>
            </w:r>
            <w:r w:rsidRPr="0089139D">
              <w:rPr>
                <w:sz w:val="23"/>
                <w:szCs w:val="23"/>
                <w:lang w:val="uk-UA" w:eastAsia="en-US"/>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 xml:space="preserve">протягом 24 годин з </w:t>
            </w:r>
            <w:r w:rsidRPr="0089139D">
              <w:rPr>
                <w:b/>
                <w:sz w:val="23"/>
                <w:szCs w:val="23"/>
                <w:lang w:val="uk-UA" w:eastAsia="en-US"/>
              </w:rPr>
              <w:lastRenderedPageBreak/>
              <w:t>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не надав забезпечення тендерної пропозиції,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lastRenderedPageBreak/>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009838E7" w:rsidRPr="0089139D">
              <w:rPr>
                <w:rFonts w:cs="Mangal"/>
                <w:kern w:val="1"/>
                <w:lang w:val="uk-UA" w:eastAsia="hi-IN" w:bidi="hi-IN"/>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17C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3) скорочення обсягу видатків на здійснення закупівлі товарів, робіт чи 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 xml:space="preserve">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Pr="0089139D">
              <w:rPr>
                <w:sz w:val="23"/>
                <w:szCs w:val="23"/>
                <w:lang w:eastAsia="en-US"/>
              </w:rPr>
              <w:lastRenderedPageBreak/>
              <w:t>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w:t>
            </w:r>
            <w:r w:rsidRPr="0089139D">
              <w:rPr>
                <w:sz w:val="23"/>
                <w:szCs w:val="23"/>
                <w:lang w:val="uk-UA" w:eastAsia="en-US"/>
              </w:rPr>
              <w:lastRenderedPageBreak/>
              <w:t xml:space="preserve">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500D2"/>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17C4D"/>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3E216-107F-408F-A860-7CA60891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7696</Words>
  <Characters>43870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125</cp:revision>
  <cp:lastPrinted>2023-03-16T07:47:00Z</cp:lastPrinted>
  <dcterms:created xsi:type="dcterms:W3CDTF">2021-10-21T06:37:00Z</dcterms:created>
  <dcterms:modified xsi:type="dcterms:W3CDTF">2023-03-16T07:54:00Z</dcterms:modified>
</cp:coreProperties>
</file>