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932" w:rsidRPr="00BC074A" w:rsidRDefault="00F95932" w:rsidP="00F95932">
      <w:pPr>
        <w:shd w:val="clear" w:color="auto" w:fill="FFFFFF" w:themeFill="background1"/>
        <w:jc w:val="right"/>
        <w:rPr>
          <w:color w:val="000000" w:themeColor="text1"/>
        </w:rPr>
      </w:pPr>
      <w:bookmarkStart w:id="0" w:name="_GoBack"/>
      <w:bookmarkEnd w:id="0"/>
      <w:r w:rsidRPr="00BC074A">
        <w:rPr>
          <w:color w:val="000000" w:themeColor="text1"/>
        </w:rPr>
        <w:t xml:space="preserve">Додаток 1 </w:t>
      </w:r>
    </w:p>
    <w:p w:rsidR="00F95932" w:rsidRPr="00BC074A" w:rsidRDefault="00F95932" w:rsidP="00F95932">
      <w:pPr>
        <w:shd w:val="clear" w:color="auto" w:fill="FFFFFF" w:themeFill="background1"/>
        <w:jc w:val="right"/>
        <w:rPr>
          <w:color w:val="000000" w:themeColor="text1"/>
        </w:rPr>
      </w:pPr>
      <w:r w:rsidRPr="00BC074A">
        <w:rPr>
          <w:color w:val="000000" w:themeColor="text1"/>
        </w:rPr>
        <w:t xml:space="preserve">до протоколу уповноваженої особи </w:t>
      </w:r>
    </w:p>
    <w:p w:rsidR="00F95932" w:rsidRPr="00BC074A" w:rsidRDefault="00F95932" w:rsidP="00F95932">
      <w:pPr>
        <w:shd w:val="clear" w:color="auto" w:fill="FFFFFF" w:themeFill="background1"/>
        <w:jc w:val="right"/>
        <w:rPr>
          <w:color w:val="000000" w:themeColor="text1"/>
        </w:rPr>
      </w:pPr>
      <w:r w:rsidRPr="00BC074A">
        <w:rPr>
          <w:color w:val="000000" w:themeColor="text1"/>
        </w:rPr>
        <w:t>виконавчого комітету</w:t>
      </w:r>
    </w:p>
    <w:p w:rsidR="00F95932" w:rsidRPr="00BC074A" w:rsidRDefault="00F95932" w:rsidP="00F95932">
      <w:pPr>
        <w:shd w:val="clear" w:color="auto" w:fill="FFFFFF" w:themeFill="background1"/>
        <w:jc w:val="right"/>
        <w:rPr>
          <w:color w:val="000000" w:themeColor="text1"/>
        </w:rPr>
      </w:pPr>
      <w:r w:rsidRPr="00BC074A">
        <w:rPr>
          <w:color w:val="000000" w:themeColor="text1"/>
        </w:rPr>
        <w:t>Хмельницької міської ради</w:t>
      </w:r>
    </w:p>
    <w:p w:rsidR="00F95932" w:rsidRPr="00DB24D8" w:rsidRDefault="00F95932" w:rsidP="00F95932">
      <w:pPr>
        <w:shd w:val="clear" w:color="auto" w:fill="FFFFFF" w:themeFill="background1"/>
        <w:jc w:val="right"/>
        <w:rPr>
          <w:color w:val="000000" w:themeColor="text1"/>
        </w:rPr>
      </w:pPr>
      <w:r w:rsidRPr="00BC074A">
        <w:rPr>
          <w:color w:val="000000" w:themeColor="text1"/>
        </w:rPr>
        <w:t>від «</w:t>
      </w:r>
      <w:r w:rsidR="008B73C1">
        <w:rPr>
          <w:color w:val="000000" w:themeColor="text1"/>
        </w:rPr>
        <w:t>02</w:t>
      </w:r>
      <w:r w:rsidRPr="00BC074A">
        <w:rPr>
          <w:color w:val="000000" w:themeColor="text1"/>
        </w:rPr>
        <w:t xml:space="preserve">» </w:t>
      </w:r>
      <w:r w:rsidR="008B73C1">
        <w:rPr>
          <w:color w:val="000000" w:themeColor="text1"/>
        </w:rPr>
        <w:t>грудня</w:t>
      </w:r>
      <w:r w:rsidRPr="00BC074A">
        <w:rPr>
          <w:color w:val="000000" w:themeColor="text1"/>
        </w:rPr>
        <w:t xml:space="preserve"> 2022 року</w:t>
      </w:r>
      <w:r w:rsidRPr="00BC074A">
        <w:rPr>
          <w:color w:val="000000" w:themeColor="text1"/>
          <w:lang w:val="en-US"/>
        </w:rPr>
        <w:t xml:space="preserve"> </w:t>
      </w:r>
      <w:r w:rsidRPr="00BC074A">
        <w:rPr>
          <w:color w:val="000000" w:themeColor="text1"/>
        </w:rPr>
        <w:t>№</w:t>
      </w:r>
      <w:r w:rsidR="00F62FF6">
        <w:rPr>
          <w:color w:val="000000" w:themeColor="text1"/>
        </w:rPr>
        <w:t>9</w:t>
      </w:r>
      <w:r w:rsidR="008B73C1">
        <w:rPr>
          <w:color w:val="000000" w:themeColor="text1"/>
        </w:rPr>
        <w:t>9</w:t>
      </w:r>
      <w:r w:rsidRPr="00BC074A">
        <w:rPr>
          <w:color w:val="000000" w:themeColor="text1"/>
        </w:rPr>
        <w:t>-22</w:t>
      </w:r>
    </w:p>
    <w:p w:rsidR="00F95932" w:rsidRPr="00DB24D8" w:rsidRDefault="00F95932" w:rsidP="00F95932">
      <w:pPr>
        <w:shd w:val="clear" w:color="auto" w:fill="FFFFFF" w:themeFill="background1"/>
        <w:jc w:val="center"/>
        <w:rPr>
          <w:b/>
          <w:color w:val="000000" w:themeColor="text1"/>
        </w:rPr>
      </w:pPr>
    </w:p>
    <w:p w:rsidR="00F95932" w:rsidRDefault="00F95932" w:rsidP="00F95932">
      <w:pPr>
        <w:shd w:val="clear" w:color="auto" w:fill="FFFFFF" w:themeFill="background1"/>
        <w:jc w:val="center"/>
        <w:rPr>
          <w:b/>
        </w:rPr>
      </w:pPr>
      <w:r>
        <w:rPr>
          <w:b/>
        </w:rPr>
        <w:t>Перелік змін до тендерної документації за</w:t>
      </w:r>
      <w:r w:rsidRPr="009B5726">
        <w:rPr>
          <w:b/>
        </w:rPr>
        <w:t xml:space="preserve"> предмет</w:t>
      </w:r>
      <w:r>
        <w:rPr>
          <w:b/>
        </w:rPr>
        <w:t>ом</w:t>
      </w:r>
      <w:r w:rsidRPr="009B5726">
        <w:rPr>
          <w:b/>
        </w:rPr>
        <w:t xml:space="preserve"> закупівлі </w:t>
      </w:r>
      <w:r w:rsidRPr="009B5726">
        <w:rPr>
          <w:b/>
          <w:shd w:val="clear" w:color="auto" w:fill="FFFFFF" w:themeFill="background1"/>
        </w:rPr>
        <w:t>«</w:t>
      </w:r>
      <w:r w:rsidR="008B73C1">
        <w:rPr>
          <w:b/>
          <w:shd w:val="clear" w:color="auto" w:fill="FFFFFF" w:themeFill="background1"/>
        </w:rPr>
        <w:t>Д</w:t>
      </w:r>
      <w:r w:rsidRPr="009B5726">
        <w:rPr>
          <w:b/>
        </w:rPr>
        <w:t>изельне паливо, код ДК 021:2015-09130000-9 - Нафта і дистиляти»</w:t>
      </w:r>
    </w:p>
    <w:p w:rsidR="00F95932" w:rsidRDefault="008B73C1" w:rsidP="008B73C1">
      <w:pPr>
        <w:jc w:val="center"/>
        <w:rPr>
          <w:color w:val="000000" w:themeColor="text1"/>
          <w:u w:val="single"/>
        </w:rPr>
      </w:pPr>
      <w:r w:rsidRPr="008B73C1">
        <w:rPr>
          <w:color w:val="000000" w:themeColor="text1"/>
          <w:u w:val="single"/>
        </w:rPr>
        <w:t>UA-2022-11-30-011205-a</w:t>
      </w:r>
    </w:p>
    <w:p w:rsidR="008B73C1" w:rsidRPr="00022CDC" w:rsidRDefault="008B73C1" w:rsidP="008B73C1">
      <w:pPr>
        <w:jc w:val="center"/>
        <w:rPr>
          <w:color w:val="000000"/>
          <w:lang w:eastAsia="uk-UA"/>
        </w:rPr>
      </w:pPr>
    </w:p>
    <w:tbl>
      <w:tblPr>
        <w:tblStyle w:val="ab"/>
        <w:tblW w:w="15452" w:type="dxa"/>
        <w:tblInd w:w="-572" w:type="dxa"/>
        <w:tblLook w:val="04A0" w:firstRow="1" w:lastRow="0" w:firstColumn="1" w:lastColumn="0" w:noHBand="0" w:noVBand="1"/>
      </w:tblPr>
      <w:tblGrid>
        <w:gridCol w:w="458"/>
        <w:gridCol w:w="1694"/>
        <w:gridCol w:w="7459"/>
        <w:gridCol w:w="6250"/>
      </w:tblGrid>
      <w:tr w:rsidR="008B73C1" w:rsidTr="005A546E">
        <w:trPr>
          <w:trHeight w:val="150"/>
        </w:trPr>
        <w:tc>
          <w:tcPr>
            <w:tcW w:w="567" w:type="dxa"/>
          </w:tcPr>
          <w:p w:rsidR="00F95932" w:rsidRDefault="00F95932" w:rsidP="00F95932">
            <w:pPr>
              <w:pStyle w:val="a5"/>
              <w:ind w:left="0"/>
              <w:jc w:val="both"/>
              <w:rPr>
                <w:b/>
              </w:rPr>
            </w:pPr>
            <w:r>
              <w:rPr>
                <w:b/>
              </w:rPr>
              <w:t>№</w:t>
            </w:r>
          </w:p>
        </w:tc>
        <w:tc>
          <w:tcPr>
            <w:tcW w:w="1560" w:type="dxa"/>
          </w:tcPr>
          <w:p w:rsidR="00F95932" w:rsidRDefault="00F95932" w:rsidP="00F95932">
            <w:pPr>
              <w:pStyle w:val="a5"/>
              <w:ind w:left="0"/>
              <w:jc w:val="both"/>
              <w:rPr>
                <w:b/>
              </w:rPr>
            </w:pPr>
            <w:r>
              <w:rPr>
                <w:b/>
              </w:rPr>
              <w:t xml:space="preserve">Куди </w:t>
            </w:r>
            <w:proofErr w:type="spellStart"/>
            <w:r>
              <w:rPr>
                <w:b/>
              </w:rPr>
              <w:t>вновилися</w:t>
            </w:r>
            <w:proofErr w:type="spellEnd"/>
            <w:r>
              <w:rPr>
                <w:b/>
              </w:rPr>
              <w:t xml:space="preserve"> зміни</w:t>
            </w:r>
          </w:p>
        </w:tc>
        <w:tc>
          <w:tcPr>
            <w:tcW w:w="6095" w:type="dxa"/>
          </w:tcPr>
          <w:p w:rsidR="00F95932" w:rsidRDefault="00F95932" w:rsidP="008B73C1">
            <w:pPr>
              <w:pStyle w:val="a5"/>
              <w:ind w:left="0"/>
              <w:jc w:val="both"/>
              <w:rPr>
                <w:b/>
              </w:rPr>
            </w:pPr>
            <w:r>
              <w:rPr>
                <w:b/>
              </w:rPr>
              <w:t xml:space="preserve">Початкова редакція </w:t>
            </w:r>
            <w:r w:rsidR="008B73C1">
              <w:rPr>
                <w:b/>
              </w:rPr>
              <w:t>30</w:t>
            </w:r>
            <w:r>
              <w:rPr>
                <w:b/>
              </w:rPr>
              <w:t>.</w:t>
            </w:r>
            <w:r w:rsidR="005A546E">
              <w:rPr>
                <w:b/>
              </w:rPr>
              <w:t>11</w:t>
            </w:r>
            <w:r>
              <w:rPr>
                <w:b/>
              </w:rPr>
              <w:t>.2022 року</w:t>
            </w:r>
          </w:p>
        </w:tc>
        <w:tc>
          <w:tcPr>
            <w:tcW w:w="7230" w:type="dxa"/>
          </w:tcPr>
          <w:p w:rsidR="00F95932" w:rsidRDefault="00F95932" w:rsidP="008B73C1">
            <w:pPr>
              <w:pStyle w:val="a5"/>
              <w:ind w:left="0"/>
              <w:jc w:val="both"/>
              <w:rPr>
                <w:b/>
              </w:rPr>
            </w:pPr>
            <w:r>
              <w:rPr>
                <w:b/>
              </w:rPr>
              <w:t xml:space="preserve">Нова редакція </w:t>
            </w:r>
            <w:r w:rsidR="008B73C1">
              <w:rPr>
                <w:b/>
              </w:rPr>
              <w:t>02</w:t>
            </w:r>
            <w:r>
              <w:rPr>
                <w:b/>
              </w:rPr>
              <w:t>.</w:t>
            </w:r>
            <w:r w:rsidR="008B73C1">
              <w:rPr>
                <w:b/>
              </w:rPr>
              <w:t>12</w:t>
            </w:r>
            <w:r>
              <w:rPr>
                <w:b/>
              </w:rPr>
              <w:t>.2022 року</w:t>
            </w:r>
          </w:p>
        </w:tc>
      </w:tr>
      <w:tr w:rsidR="008B73C1" w:rsidTr="005A546E">
        <w:trPr>
          <w:trHeight w:val="120"/>
        </w:trPr>
        <w:tc>
          <w:tcPr>
            <w:tcW w:w="567" w:type="dxa"/>
          </w:tcPr>
          <w:p w:rsidR="00F95932" w:rsidRPr="00F95932" w:rsidRDefault="00F95932" w:rsidP="00F95932">
            <w:pPr>
              <w:pStyle w:val="a5"/>
              <w:ind w:left="0"/>
              <w:jc w:val="both"/>
            </w:pPr>
            <w:r>
              <w:t>1</w:t>
            </w:r>
          </w:p>
        </w:tc>
        <w:tc>
          <w:tcPr>
            <w:tcW w:w="1560" w:type="dxa"/>
          </w:tcPr>
          <w:p w:rsidR="00F95932" w:rsidRPr="00F95932" w:rsidRDefault="008B73C1" w:rsidP="008B73C1">
            <w:pPr>
              <w:pStyle w:val="a5"/>
              <w:ind w:left="0"/>
              <w:jc w:val="both"/>
            </w:pPr>
            <w:r>
              <w:rPr>
                <w:b/>
              </w:rPr>
              <w:t>Підпункт 3.5.2. тендерної документації</w:t>
            </w:r>
            <w:r w:rsidRPr="00384731">
              <w:t> </w:t>
            </w:r>
          </w:p>
        </w:tc>
        <w:tc>
          <w:tcPr>
            <w:tcW w:w="6095" w:type="dxa"/>
          </w:tcPr>
          <w:p w:rsidR="008B73C1" w:rsidRPr="00384731" w:rsidRDefault="008B73C1" w:rsidP="008B73C1">
            <w:pPr>
              <w:pStyle w:val="21"/>
              <w:spacing w:after="0" w:line="240" w:lineRule="auto"/>
              <w:ind w:left="0"/>
              <w:jc w:val="both"/>
              <w:rPr>
                <w:rFonts w:ascii="Times New Roman" w:hAnsi="Times New Roman"/>
                <w:sz w:val="24"/>
                <w:szCs w:val="24"/>
                <w:lang w:val="uk-UA"/>
              </w:rPr>
            </w:pPr>
            <w:r w:rsidRPr="00384731">
              <w:rPr>
                <w:rFonts w:ascii="Times New Roman" w:hAnsi="Times New Roman"/>
                <w:sz w:val="24"/>
                <w:szCs w:val="24"/>
                <w:lang w:val="uk-UA"/>
              </w:rPr>
              <w:t xml:space="preserve">3.5.2. Для підтвердження відповідності кваліфікаційним (кваліфікаційному)  критеріям, учасник повинен надати у складі </w:t>
            </w:r>
            <w:r w:rsidRPr="00384731">
              <w:rPr>
                <w:rFonts w:ascii="Times New Roman" w:hAnsi="Times New Roman"/>
                <w:sz w:val="24"/>
                <w:szCs w:val="24"/>
                <w:shd w:val="clear" w:color="auto" w:fill="FFFFFF"/>
                <w:lang w:val="uk-UA"/>
              </w:rPr>
              <w:t>адміністративно - технічної  частини</w:t>
            </w:r>
            <w:r w:rsidRPr="00384731">
              <w:rPr>
                <w:rFonts w:ascii="Times New Roman" w:hAnsi="Times New Roman"/>
                <w:sz w:val="24"/>
                <w:szCs w:val="24"/>
                <w:lang w:val="uk-UA"/>
              </w:rPr>
              <w:t xml:space="preserve"> наступні документи: </w:t>
            </w:r>
          </w:p>
          <w:tbl>
            <w:tblPr>
              <w:tblW w:w="7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9"/>
              <w:gridCol w:w="4584"/>
            </w:tblGrid>
            <w:tr w:rsidR="008B73C1" w:rsidRPr="00384731" w:rsidTr="008B73C1">
              <w:tc>
                <w:tcPr>
                  <w:tcW w:w="2649" w:type="dxa"/>
                </w:tcPr>
                <w:p w:rsidR="008B73C1" w:rsidRPr="00384731" w:rsidRDefault="008B73C1" w:rsidP="008B73C1">
                  <w:pPr>
                    <w:pStyle w:val="2"/>
                    <w:spacing w:after="0" w:line="240" w:lineRule="auto"/>
                    <w:ind w:left="0"/>
                    <w:jc w:val="center"/>
                    <w:rPr>
                      <w:b/>
                      <w:i/>
                    </w:rPr>
                  </w:pPr>
                  <w:r w:rsidRPr="00384731">
                    <w:rPr>
                      <w:b/>
                      <w:i/>
                    </w:rPr>
                    <w:t>Кваліфікаційний критерій</w:t>
                  </w:r>
                </w:p>
              </w:tc>
              <w:tc>
                <w:tcPr>
                  <w:tcW w:w="4584" w:type="dxa"/>
                </w:tcPr>
                <w:p w:rsidR="008B73C1" w:rsidRPr="00384731" w:rsidRDefault="008B73C1" w:rsidP="008B73C1">
                  <w:pPr>
                    <w:pStyle w:val="2"/>
                    <w:spacing w:after="0" w:line="240" w:lineRule="auto"/>
                    <w:ind w:left="0"/>
                    <w:jc w:val="center"/>
                    <w:rPr>
                      <w:b/>
                      <w:i/>
                    </w:rPr>
                  </w:pPr>
                  <w:r w:rsidRPr="00384731">
                    <w:rPr>
                      <w:b/>
                      <w:i/>
                    </w:rPr>
                    <w:t>Документальне підтвердження</w:t>
                  </w:r>
                </w:p>
              </w:tc>
            </w:tr>
            <w:tr w:rsidR="008B73C1" w:rsidRPr="00384731" w:rsidTr="008B73C1">
              <w:trPr>
                <w:trHeight w:val="1018"/>
              </w:trPr>
              <w:tc>
                <w:tcPr>
                  <w:tcW w:w="2649" w:type="dxa"/>
                  <w:vAlign w:val="center"/>
                </w:tcPr>
                <w:p w:rsidR="008B73C1" w:rsidRPr="00384731" w:rsidRDefault="008B73C1" w:rsidP="008B73C1">
                  <w:pPr>
                    <w:rPr>
                      <w:i/>
                    </w:rPr>
                  </w:pPr>
                  <w:r w:rsidRPr="00384731">
                    <w:rPr>
                      <w:i/>
                    </w:rPr>
                    <w:t xml:space="preserve">1. Наявність обладнання та матеріально-технічної бази </w:t>
                  </w:r>
                </w:p>
              </w:tc>
              <w:tc>
                <w:tcPr>
                  <w:tcW w:w="4584" w:type="dxa"/>
                </w:tcPr>
                <w:p w:rsidR="008B73C1" w:rsidRPr="00384731" w:rsidRDefault="008B73C1" w:rsidP="008B73C1">
                  <w:pPr>
                    <w:pStyle w:val="2"/>
                    <w:spacing w:after="0" w:line="240" w:lineRule="auto"/>
                    <w:ind w:left="0"/>
                    <w:jc w:val="both"/>
                  </w:pPr>
                  <w:r w:rsidRPr="00384731">
                    <w:t>- Інформаційна довідка в довільній формі про наявність обладнання та матеріально-технічної бази.</w:t>
                  </w:r>
                </w:p>
              </w:tc>
            </w:tr>
            <w:tr w:rsidR="008B73C1" w:rsidRPr="00384731" w:rsidTr="008B73C1">
              <w:trPr>
                <w:trHeight w:val="218"/>
              </w:trPr>
              <w:tc>
                <w:tcPr>
                  <w:tcW w:w="2649" w:type="dxa"/>
                  <w:vAlign w:val="center"/>
                </w:tcPr>
                <w:p w:rsidR="008B73C1" w:rsidRPr="00384731" w:rsidRDefault="008B73C1" w:rsidP="008B73C1">
                  <w:pPr>
                    <w:rPr>
                      <w:i/>
                    </w:rPr>
                  </w:pPr>
                  <w:r w:rsidRPr="00384731">
                    <w:rPr>
                      <w:i/>
                    </w:rPr>
                    <w:t>2. Наявність працівників відповідної кваліфікації, які мають необхідні знання та досвід</w:t>
                  </w:r>
                </w:p>
              </w:tc>
              <w:tc>
                <w:tcPr>
                  <w:tcW w:w="4584" w:type="dxa"/>
                </w:tcPr>
                <w:p w:rsidR="008B73C1" w:rsidRPr="00384731" w:rsidRDefault="008B73C1" w:rsidP="008B73C1">
                  <w:pPr>
                    <w:pStyle w:val="2"/>
                    <w:spacing w:after="0" w:line="240" w:lineRule="auto"/>
                    <w:ind w:left="0"/>
                    <w:jc w:val="both"/>
                  </w:pPr>
                  <w:r w:rsidRPr="00384731">
                    <w:t>- Інформаційна довідка в довільній формі про наявність в учасника працівників відповідної кваліфікації, які мають необхідні знання та досвід, необхідних для виконання умов договору.</w:t>
                  </w:r>
                </w:p>
              </w:tc>
            </w:tr>
            <w:tr w:rsidR="008B73C1" w:rsidRPr="00384731" w:rsidTr="008B73C1">
              <w:trPr>
                <w:trHeight w:val="495"/>
              </w:trPr>
              <w:tc>
                <w:tcPr>
                  <w:tcW w:w="2649" w:type="dxa"/>
                  <w:vAlign w:val="center"/>
                </w:tcPr>
                <w:p w:rsidR="008B73C1" w:rsidRPr="00384731" w:rsidRDefault="008B73C1" w:rsidP="008B73C1">
                  <w:pPr>
                    <w:rPr>
                      <w:i/>
                    </w:rPr>
                  </w:pPr>
                  <w:r w:rsidRPr="00384731">
                    <w:rPr>
                      <w:i/>
                    </w:rPr>
                    <w:t xml:space="preserve">3. Наявність документально підтвердженого досвіду виконання аналогічних договорів. </w:t>
                  </w:r>
                </w:p>
              </w:tc>
              <w:tc>
                <w:tcPr>
                  <w:tcW w:w="4584" w:type="dxa"/>
                </w:tcPr>
                <w:p w:rsidR="008B73C1" w:rsidRPr="00384731" w:rsidRDefault="008B73C1" w:rsidP="008B73C1">
                  <w:pPr>
                    <w:jc w:val="both"/>
                    <w:rPr>
                      <w:color w:val="000000"/>
                    </w:rPr>
                  </w:pPr>
                  <w:r w:rsidRPr="00384731">
                    <w:t>- Інформаційна довідка</w:t>
                  </w:r>
                  <w:r w:rsidRPr="00384731">
                    <w:rPr>
                      <w:color w:val="000000"/>
                    </w:rPr>
                    <w:t xml:space="preserve"> в довільній </w:t>
                  </w:r>
                  <w:r w:rsidRPr="00384731">
                    <w:rPr>
                      <w:color w:val="000000"/>
                      <w:lang w:eastAsia="uk-UA"/>
                    </w:rPr>
                    <w:t xml:space="preserve">формі, </w:t>
                  </w:r>
                  <w:r w:rsidRPr="00384731">
                    <w:rPr>
                      <w:color w:val="000000"/>
                    </w:rPr>
                    <w:t xml:space="preserve">про виконання аналогічного договору, укладеного протягом 2018-2021 рр. із зазначенням інформації про: обсяг поставки товару (у кількісному виразі), замовника (найменування, адреса та контактний телефон), стан належного </w:t>
                  </w:r>
                  <w:r w:rsidRPr="00384731">
                    <w:rPr>
                      <w:color w:val="000000"/>
                    </w:rPr>
                    <w:lastRenderedPageBreak/>
                    <w:t>виконання договору стосовно якості та строків.</w:t>
                  </w:r>
                </w:p>
                <w:p w:rsidR="008B73C1" w:rsidRPr="00384731" w:rsidRDefault="008B73C1" w:rsidP="008B73C1">
                  <w:pPr>
                    <w:jc w:val="both"/>
                    <w:rPr>
                      <w:lang w:eastAsia="x-none"/>
                    </w:rPr>
                  </w:pPr>
                  <w:r w:rsidRPr="00384731">
                    <w:rPr>
                      <w:lang w:val="en-US" w:eastAsia="x-none"/>
                    </w:rPr>
                    <w:t xml:space="preserve">     </w:t>
                  </w:r>
                  <w:r w:rsidRPr="00384731">
                    <w:rPr>
                      <w:lang w:eastAsia="x-none"/>
                    </w:rPr>
                    <w:t>Аналогічним договором відповідно до умов цієї тендерної документації є договір, який підтверджує наявність у учасника досвіду щодо здійснення постачання товару, що може бути віднесено до предмету закупівлі.</w:t>
                  </w:r>
                </w:p>
                <w:p w:rsidR="008B73C1" w:rsidRPr="00384731" w:rsidRDefault="008B73C1" w:rsidP="008B73C1">
                  <w:pPr>
                    <w:jc w:val="both"/>
                  </w:pPr>
                  <w:r w:rsidRPr="00384731">
                    <w:t xml:space="preserve">       Для підтвердження виконання аналогічного договору учасник у складі тендерної пропозиції повинен надати копію аналогічного договору, що вказаний у довідці, та копії актів прийому-передачі або копії інших документів, що підтверджують факт передачі майна.</w:t>
                  </w:r>
                </w:p>
              </w:tc>
            </w:tr>
          </w:tbl>
          <w:p w:rsidR="00F95932" w:rsidRPr="00F95932" w:rsidRDefault="00F95932" w:rsidP="00F95932">
            <w:pPr>
              <w:pStyle w:val="a5"/>
              <w:ind w:left="0"/>
              <w:jc w:val="both"/>
            </w:pPr>
          </w:p>
        </w:tc>
        <w:tc>
          <w:tcPr>
            <w:tcW w:w="7230" w:type="dxa"/>
          </w:tcPr>
          <w:p w:rsidR="008B73C1" w:rsidRPr="00384731" w:rsidRDefault="008B73C1" w:rsidP="008B73C1">
            <w:pPr>
              <w:pStyle w:val="21"/>
              <w:spacing w:after="0" w:line="240" w:lineRule="auto"/>
              <w:ind w:left="0"/>
              <w:jc w:val="both"/>
              <w:rPr>
                <w:rFonts w:ascii="Times New Roman" w:hAnsi="Times New Roman"/>
                <w:sz w:val="24"/>
                <w:szCs w:val="24"/>
                <w:lang w:val="uk-UA"/>
              </w:rPr>
            </w:pPr>
            <w:r w:rsidRPr="00384731">
              <w:rPr>
                <w:rFonts w:ascii="Times New Roman" w:hAnsi="Times New Roman"/>
                <w:sz w:val="24"/>
                <w:szCs w:val="24"/>
                <w:lang w:val="uk-UA"/>
              </w:rPr>
              <w:lastRenderedPageBreak/>
              <w:t xml:space="preserve">3.5.2. Для підтвердження відповідності кваліфікаційним (кваліфікаційному)  критеріям, учасник повинен надати у складі </w:t>
            </w:r>
            <w:r w:rsidRPr="00384731">
              <w:rPr>
                <w:rFonts w:ascii="Times New Roman" w:hAnsi="Times New Roman"/>
                <w:sz w:val="24"/>
                <w:szCs w:val="24"/>
                <w:shd w:val="clear" w:color="auto" w:fill="FFFFFF"/>
                <w:lang w:val="uk-UA"/>
              </w:rPr>
              <w:t>адміністративно - технічної  частини</w:t>
            </w:r>
            <w:r w:rsidRPr="00384731">
              <w:rPr>
                <w:rFonts w:ascii="Times New Roman" w:hAnsi="Times New Roman"/>
                <w:sz w:val="24"/>
                <w:szCs w:val="24"/>
                <w:lang w:val="uk-UA"/>
              </w:rPr>
              <w:t xml:space="preserve"> наступні документи: </w:t>
            </w:r>
          </w:p>
          <w:tbl>
            <w:tblPr>
              <w:tblW w:w="6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7"/>
              <w:gridCol w:w="3557"/>
            </w:tblGrid>
            <w:tr w:rsidR="008B73C1" w:rsidRPr="00384731" w:rsidTr="008B73C1">
              <w:tc>
                <w:tcPr>
                  <w:tcW w:w="2467" w:type="dxa"/>
                </w:tcPr>
                <w:p w:rsidR="008B73C1" w:rsidRPr="00384731" w:rsidRDefault="008B73C1" w:rsidP="008B73C1">
                  <w:pPr>
                    <w:pStyle w:val="2"/>
                    <w:spacing w:after="0" w:line="240" w:lineRule="auto"/>
                    <w:ind w:left="0"/>
                    <w:jc w:val="center"/>
                    <w:rPr>
                      <w:b/>
                      <w:i/>
                    </w:rPr>
                  </w:pPr>
                  <w:r w:rsidRPr="00384731">
                    <w:rPr>
                      <w:b/>
                      <w:i/>
                    </w:rPr>
                    <w:t>Кваліфікаційний критерій</w:t>
                  </w:r>
                </w:p>
              </w:tc>
              <w:tc>
                <w:tcPr>
                  <w:tcW w:w="3557" w:type="dxa"/>
                </w:tcPr>
                <w:p w:rsidR="008B73C1" w:rsidRPr="00384731" w:rsidRDefault="008B73C1" w:rsidP="008B73C1">
                  <w:pPr>
                    <w:pStyle w:val="2"/>
                    <w:spacing w:after="0" w:line="240" w:lineRule="auto"/>
                    <w:ind w:left="0"/>
                    <w:jc w:val="center"/>
                    <w:rPr>
                      <w:b/>
                      <w:i/>
                    </w:rPr>
                  </w:pPr>
                  <w:r w:rsidRPr="00384731">
                    <w:rPr>
                      <w:b/>
                      <w:i/>
                    </w:rPr>
                    <w:t>Документальне підтвердження</w:t>
                  </w:r>
                </w:p>
              </w:tc>
            </w:tr>
            <w:tr w:rsidR="008B73C1" w:rsidRPr="00384731" w:rsidTr="008B73C1">
              <w:trPr>
                <w:trHeight w:val="495"/>
              </w:trPr>
              <w:tc>
                <w:tcPr>
                  <w:tcW w:w="2467" w:type="dxa"/>
                  <w:vAlign w:val="center"/>
                </w:tcPr>
                <w:p w:rsidR="008B73C1" w:rsidRPr="00384731" w:rsidRDefault="008B73C1" w:rsidP="008B73C1">
                  <w:pPr>
                    <w:rPr>
                      <w:i/>
                    </w:rPr>
                  </w:pPr>
                  <w:r>
                    <w:rPr>
                      <w:i/>
                    </w:rPr>
                    <w:t>1</w:t>
                  </w:r>
                  <w:r w:rsidRPr="00384731">
                    <w:rPr>
                      <w:i/>
                    </w:rPr>
                    <w:t xml:space="preserve">. Наявність документально підтвердженого досвіду виконання аналогічних договорів. </w:t>
                  </w:r>
                </w:p>
              </w:tc>
              <w:tc>
                <w:tcPr>
                  <w:tcW w:w="3557" w:type="dxa"/>
                </w:tcPr>
                <w:p w:rsidR="008B73C1" w:rsidRPr="00384731" w:rsidRDefault="008B73C1" w:rsidP="008B73C1">
                  <w:pPr>
                    <w:jc w:val="both"/>
                    <w:rPr>
                      <w:color w:val="000000"/>
                    </w:rPr>
                  </w:pPr>
                  <w:r w:rsidRPr="00384731">
                    <w:t>- Інформаційна довідка</w:t>
                  </w:r>
                  <w:r w:rsidRPr="00384731">
                    <w:rPr>
                      <w:color w:val="000000"/>
                    </w:rPr>
                    <w:t xml:space="preserve"> в довільній </w:t>
                  </w:r>
                  <w:r w:rsidRPr="00384731">
                    <w:rPr>
                      <w:color w:val="000000"/>
                      <w:lang w:eastAsia="uk-UA"/>
                    </w:rPr>
                    <w:t xml:space="preserve">формі, </w:t>
                  </w:r>
                  <w:r w:rsidRPr="00384731">
                    <w:rPr>
                      <w:color w:val="000000"/>
                    </w:rPr>
                    <w:t>про виконання аналогічного договору, укладеного протягом 2018-2021 рр. із зазначенням інформації про: обсяг поставки товару (у кількісному виразі), замовника (найменування, адреса та контактний телефон), стан належного виконання договору стосовно якості та строків.</w:t>
                  </w:r>
                </w:p>
                <w:p w:rsidR="008B73C1" w:rsidRPr="00384731" w:rsidRDefault="008B73C1" w:rsidP="008B73C1">
                  <w:pPr>
                    <w:jc w:val="both"/>
                    <w:rPr>
                      <w:lang w:eastAsia="x-none"/>
                    </w:rPr>
                  </w:pPr>
                  <w:r w:rsidRPr="00384731">
                    <w:rPr>
                      <w:lang w:val="en-US" w:eastAsia="x-none"/>
                    </w:rPr>
                    <w:t xml:space="preserve">     </w:t>
                  </w:r>
                  <w:r w:rsidRPr="00384731">
                    <w:rPr>
                      <w:lang w:eastAsia="x-none"/>
                    </w:rPr>
                    <w:t xml:space="preserve">Аналогічним договором відповідно до умов цієї тендерної документації є договір, який підтверджує наявність у учасника досвіду </w:t>
                  </w:r>
                  <w:r w:rsidRPr="00384731">
                    <w:rPr>
                      <w:lang w:eastAsia="x-none"/>
                    </w:rPr>
                    <w:lastRenderedPageBreak/>
                    <w:t>щодо здійснення постачання товару, що може бути віднесено до предмету закупівлі.</w:t>
                  </w:r>
                </w:p>
                <w:p w:rsidR="008B73C1" w:rsidRPr="00384731" w:rsidRDefault="008B73C1" w:rsidP="008B73C1">
                  <w:pPr>
                    <w:jc w:val="both"/>
                  </w:pPr>
                  <w:r w:rsidRPr="00384731">
                    <w:t xml:space="preserve">       Для підтвердження виконання аналогічного договору учасник у складі тендерної пропозиції повинен надати копію аналогічного договору, що вказаний у довідці, та копії актів прийому-передачі або копії інших документів, що підтверджують факт передачі майна.</w:t>
                  </w:r>
                </w:p>
              </w:tc>
            </w:tr>
          </w:tbl>
          <w:p w:rsidR="00F95932" w:rsidRPr="00F95932" w:rsidRDefault="00F95932" w:rsidP="00F95932">
            <w:pPr>
              <w:pStyle w:val="a5"/>
              <w:ind w:left="0"/>
              <w:jc w:val="both"/>
            </w:pPr>
          </w:p>
        </w:tc>
      </w:tr>
    </w:tbl>
    <w:p w:rsidR="00F95932" w:rsidRPr="00DB24D8" w:rsidRDefault="00F95932" w:rsidP="00F95932">
      <w:pPr>
        <w:pStyle w:val="a5"/>
        <w:jc w:val="both"/>
        <w:rPr>
          <w:b/>
        </w:rPr>
      </w:pPr>
    </w:p>
    <w:p w:rsidR="00F95932" w:rsidRPr="00DB24D8" w:rsidRDefault="00F95932" w:rsidP="00F95932">
      <w:pPr>
        <w:pStyle w:val="a5"/>
        <w:jc w:val="both"/>
        <w:rPr>
          <w:b/>
        </w:rPr>
      </w:pPr>
    </w:p>
    <w:p w:rsidR="00F95932" w:rsidRDefault="00F95932" w:rsidP="00F95932">
      <w:pPr>
        <w:pStyle w:val="a5"/>
        <w:jc w:val="both"/>
        <w:rPr>
          <w:b/>
        </w:rPr>
      </w:pPr>
    </w:p>
    <w:p w:rsidR="005A546E" w:rsidRPr="00DB24D8" w:rsidRDefault="005A546E" w:rsidP="00F95932">
      <w:pPr>
        <w:pStyle w:val="a5"/>
        <w:jc w:val="both"/>
        <w:rPr>
          <w:b/>
        </w:rPr>
      </w:pPr>
    </w:p>
    <w:p w:rsidR="00F95932" w:rsidRDefault="00F95932" w:rsidP="00F95932">
      <w:pPr>
        <w:jc w:val="both"/>
        <w:rPr>
          <w:iCs/>
          <w:color w:val="000000"/>
          <w:lang w:val="ru-RU"/>
        </w:rPr>
      </w:pPr>
      <w:r w:rsidRPr="00DB24D8">
        <w:rPr>
          <w:bCs/>
          <w:color w:val="000000"/>
        </w:rPr>
        <w:t>Уповноважена особа</w:t>
      </w:r>
      <w:r w:rsidRPr="00DB24D8">
        <w:rPr>
          <w:bCs/>
          <w:color w:val="000000"/>
          <w:lang w:val="ru-RU"/>
        </w:rPr>
        <w:tab/>
      </w:r>
      <w:r w:rsidRPr="00DB24D8">
        <w:rPr>
          <w:bCs/>
          <w:color w:val="000000"/>
          <w:lang w:val="ru-RU"/>
        </w:rPr>
        <w:tab/>
      </w:r>
      <w:r w:rsidRPr="00DB24D8">
        <w:rPr>
          <w:bCs/>
          <w:color w:val="000000"/>
          <w:lang w:val="ru-RU"/>
        </w:rPr>
        <w:tab/>
      </w:r>
      <w:r w:rsidRPr="00DB24D8">
        <w:rPr>
          <w:bCs/>
          <w:color w:val="000000"/>
          <w:lang w:val="ru-RU"/>
        </w:rPr>
        <w:tab/>
      </w:r>
      <w:r w:rsidRPr="00DB24D8">
        <w:rPr>
          <w:bCs/>
          <w:color w:val="000000"/>
          <w:lang w:val="ru-RU"/>
        </w:rPr>
        <w:tab/>
      </w:r>
      <w:r>
        <w:rPr>
          <w:bCs/>
          <w:color w:val="000000"/>
          <w:lang w:val="ru-RU"/>
        </w:rPr>
        <w:tab/>
      </w:r>
      <w:r>
        <w:rPr>
          <w:bCs/>
          <w:color w:val="000000"/>
          <w:lang w:val="ru-RU"/>
        </w:rPr>
        <w:tab/>
      </w:r>
      <w:r>
        <w:rPr>
          <w:bCs/>
          <w:color w:val="000000"/>
          <w:lang w:val="ru-RU"/>
        </w:rPr>
        <w:tab/>
      </w:r>
      <w:r>
        <w:rPr>
          <w:bCs/>
          <w:color w:val="000000"/>
          <w:lang w:val="ru-RU"/>
        </w:rPr>
        <w:tab/>
      </w:r>
      <w:r w:rsidRPr="00DB24D8">
        <w:rPr>
          <w:bCs/>
          <w:color w:val="000000"/>
          <w:lang w:val="ru-RU"/>
        </w:rPr>
        <w:tab/>
        <w:t>О. ХМЕЛІВСЬКИЙ</w:t>
      </w:r>
    </w:p>
    <w:p w:rsidR="00F95932" w:rsidRPr="00092391" w:rsidRDefault="00F95932" w:rsidP="00F95932">
      <w:pPr>
        <w:jc w:val="both"/>
        <w:rPr>
          <w:color w:val="000000"/>
        </w:rPr>
      </w:pPr>
    </w:p>
    <w:p w:rsidR="00A64BDD" w:rsidRDefault="00AC41C5"/>
    <w:p w:rsidR="00F95932" w:rsidRDefault="00F95932"/>
    <w:sectPr w:rsidR="00F95932" w:rsidSect="00F95932">
      <w:pgSz w:w="16838" w:h="11906" w:orient="landscape"/>
      <w:pgMar w:top="170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415C5"/>
    <w:multiLevelType w:val="hybridMultilevel"/>
    <w:tmpl w:val="293A06E0"/>
    <w:lvl w:ilvl="0" w:tplc="3D26298C">
      <w:start w:val="1"/>
      <w:numFmt w:val="decimal"/>
      <w:lvlText w:val="%1."/>
      <w:lvlJc w:val="left"/>
      <w:pPr>
        <w:ind w:left="1260" w:hanging="360"/>
      </w:pPr>
      <w:rPr>
        <w:rFonts w:hint="default"/>
        <w:color w:val="auto"/>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1">
    <w:nsid w:val="21840C2B"/>
    <w:multiLevelType w:val="hybridMultilevel"/>
    <w:tmpl w:val="0D0A756A"/>
    <w:lvl w:ilvl="0" w:tplc="EB7A3EF8">
      <w:numFmt w:val="bullet"/>
      <w:lvlText w:val="-"/>
      <w:lvlJc w:val="left"/>
      <w:pPr>
        <w:ind w:left="1080" w:hanging="360"/>
      </w:pPr>
      <w:rPr>
        <w:rFonts w:ascii="Times New Roman" w:eastAsia="Times New Roman" w:hAnsi="Times New Roman" w:cs="Times New Roman"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2">
    <w:nsid w:val="437A5415"/>
    <w:multiLevelType w:val="hybridMultilevel"/>
    <w:tmpl w:val="FC2607BA"/>
    <w:lvl w:ilvl="0" w:tplc="861C6DCE">
      <w:start w:val="1"/>
      <w:numFmt w:val="decimal"/>
      <w:lvlText w:val="%1."/>
      <w:lvlJc w:val="left"/>
      <w:pPr>
        <w:ind w:left="1260" w:hanging="360"/>
      </w:pPr>
      <w:rPr>
        <w:rFonts w:hint="default"/>
        <w:color w:val="auto"/>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BE"/>
    <w:rsid w:val="002C18EE"/>
    <w:rsid w:val="00483386"/>
    <w:rsid w:val="005A546E"/>
    <w:rsid w:val="005C7A8D"/>
    <w:rsid w:val="00707F99"/>
    <w:rsid w:val="008B73C1"/>
    <w:rsid w:val="0090154E"/>
    <w:rsid w:val="00AC41C5"/>
    <w:rsid w:val="00B758D1"/>
    <w:rsid w:val="00CF1ABE"/>
    <w:rsid w:val="00EB63AD"/>
    <w:rsid w:val="00F62FF6"/>
    <w:rsid w:val="00F959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9BD0EF-E17A-4D71-82EC-4802D71A9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93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95932"/>
    <w:pPr>
      <w:jc w:val="center"/>
    </w:pPr>
    <w:rPr>
      <w:sz w:val="28"/>
      <w:szCs w:val="20"/>
    </w:rPr>
  </w:style>
  <w:style w:type="character" w:customStyle="1" w:styleId="a4">
    <w:name w:val="Назва Знак"/>
    <w:basedOn w:val="a0"/>
    <w:link w:val="a3"/>
    <w:rsid w:val="00F95932"/>
    <w:rPr>
      <w:rFonts w:ascii="Times New Roman" w:eastAsia="Times New Roman" w:hAnsi="Times New Roman" w:cs="Times New Roman"/>
      <w:sz w:val="28"/>
      <w:szCs w:val="20"/>
      <w:lang w:eastAsia="ru-RU"/>
    </w:rPr>
  </w:style>
  <w:style w:type="paragraph" w:customStyle="1" w:styleId="Textbody">
    <w:name w:val="Text body"/>
    <w:basedOn w:val="a"/>
    <w:rsid w:val="00F95932"/>
    <w:pPr>
      <w:widowControl w:val="0"/>
      <w:suppressAutoHyphens/>
      <w:autoSpaceDN w:val="0"/>
      <w:spacing w:after="120"/>
    </w:pPr>
    <w:rPr>
      <w:rFonts w:ascii="Arial" w:eastAsia="SimSun" w:hAnsi="Arial" w:cs="Mangal"/>
      <w:kern w:val="3"/>
      <w:sz w:val="21"/>
      <w:lang w:eastAsia="zh-CN" w:bidi="hi-IN"/>
    </w:rPr>
  </w:style>
  <w:style w:type="paragraph" w:styleId="a5">
    <w:name w:val="List Paragraph"/>
    <w:aliases w:val="название табл/рис,AC List 01,заголовок 1.1,EBRD List,Список уровня 2,List Paragraph,CA bullets,Bullet Number,Bullet 1,Use Case List Paragraph,lp1,List Paragraph1,lp11,List Paragraph11"/>
    <w:basedOn w:val="a"/>
    <w:link w:val="a6"/>
    <w:uiPriority w:val="34"/>
    <w:qFormat/>
    <w:rsid w:val="00F95932"/>
    <w:pPr>
      <w:ind w:left="720"/>
      <w:contextualSpacing/>
    </w:p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8"/>
    <w:qFormat/>
    <w:rsid w:val="00F95932"/>
    <w:pPr>
      <w:suppressAutoHyphens/>
      <w:spacing w:before="280" w:after="280"/>
    </w:pPr>
    <w:rPr>
      <w:lang w:eastAsia="zh-CN"/>
    </w:rPr>
  </w:style>
  <w:style w:type="character" w:customStyle="1" w:styleId="a8">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locked/>
    <w:rsid w:val="00F95932"/>
    <w:rPr>
      <w:rFonts w:ascii="Times New Roman" w:eastAsia="Times New Roman" w:hAnsi="Times New Roman" w:cs="Times New Roman"/>
      <w:sz w:val="24"/>
      <w:szCs w:val="24"/>
      <w:lang w:eastAsia="zh-CN"/>
    </w:rPr>
  </w:style>
  <w:style w:type="paragraph" w:styleId="a9">
    <w:name w:val="Body Text"/>
    <w:basedOn w:val="a"/>
    <w:link w:val="aa"/>
    <w:rsid w:val="00F95932"/>
    <w:pPr>
      <w:spacing w:after="120"/>
    </w:pPr>
    <w:rPr>
      <w:lang w:val="ru-RU"/>
    </w:rPr>
  </w:style>
  <w:style w:type="character" w:customStyle="1" w:styleId="aa">
    <w:name w:val="Основний текст Знак"/>
    <w:basedOn w:val="a0"/>
    <w:link w:val="a9"/>
    <w:rsid w:val="00F95932"/>
    <w:rPr>
      <w:rFonts w:ascii="Times New Roman" w:eastAsia="Times New Roman" w:hAnsi="Times New Roman" w:cs="Times New Roman"/>
      <w:sz w:val="24"/>
      <w:szCs w:val="24"/>
      <w:lang w:val="ru-RU" w:eastAsia="ru-RU"/>
    </w:rPr>
  </w:style>
  <w:style w:type="character" w:customStyle="1" w:styleId="a6">
    <w:name w:val="Абзац списку Знак"/>
    <w:aliases w:val="название табл/рис Знак,AC List 01 Знак,заголовок 1.1 Знак,EBRD List Знак,Список уровня 2 Знак,List Paragraph Знак,CA bullets Знак,Bullet Number Знак,Bullet 1 Знак,Use Case List Paragraph Знак,lp1 Знак,List Paragraph1 Знак,lp11 Знак"/>
    <w:link w:val="a5"/>
    <w:uiPriority w:val="34"/>
    <w:rsid w:val="00F95932"/>
    <w:rPr>
      <w:rFonts w:ascii="Times New Roman" w:eastAsia="Times New Roman" w:hAnsi="Times New Roman" w:cs="Times New Roman"/>
      <w:sz w:val="24"/>
      <w:szCs w:val="24"/>
      <w:lang w:eastAsia="ru-RU"/>
    </w:rPr>
  </w:style>
  <w:style w:type="table" w:styleId="ab">
    <w:name w:val="Table Grid"/>
    <w:basedOn w:val="a1"/>
    <w:uiPriority w:val="39"/>
    <w:rsid w:val="00F959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F95932"/>
    <w:pPr>
      <w:spacing w:before="100" w:beforeAutospacing="1" w:after="100" w:afterAutospacing="1"/>
    </w:pPr>
    <w:rPr>
      <w:lang w:eastAsia="uk-UA"/>
    </w:rPr>
  </w:style>
  <w:style w:type="paragraph" w:styleId="ac">
    <w:name w:val="Balloon Text"/>
    <w:basedOn w:val="a"/>
    <w:link w:val="ad"/>
    <w:uiPriority w:val="99"/>
    <w:semiHidden/>
    <w:unhideWhenUsed/>
    <w:rsid w:val="00F95932"/>
    <w:rPr>
      <w:rFonts w:ascii="Segoe UI" w:hAnsi="Segoe UI" w:cs="Segoe UI"/>
      <w:sz w:val="18"/>
      <w:szCs w:val="18"/>
    </w:rPr>
  </w:style>
  <w:style w:type="character" w:customStyle="1" w:styleId="ad">
    <w:name w:val="Текст у виносці Знак"/>
    <w:basedOn w:val="a0"/>
    <w:link w:val="ac"/>
    <w:uiPriority w:val="99"/>
    <w:semiHidden/>
    <w:rsid w:val="00F95932"/>
    <w:rPr>
      <w:rFonts w:ascii="Segoe UI" w:eastAsia="Times New Roman" w:hAnsi="Segoe UI" w:cs="Segoe UI"/>
      <w:sz w:val="18"/>
      <w:szCs w:val="18"/>
      <w:lang w:eastAsia="ru-RU"/>
    </w:rPr>
  </w:style>
  <w:style w:type="character" w:styleId="ae">
    <w:name w:val="Hyperlink"/>
    <w:basedOn w:val="a0"/>
    <w:uiPriority w:val="99"/>
    <w:semiHidden/>
    <w:unhideWhenUsed/>
    <w:rsid w:val="00483386"/>
    <w:rPr>
      <w:color w:val="0000FF"/>
      <w:u w:val="single"/>
    </w:rPr>
  </w:style>
  <w:style w:type="paragraph" w:styleId="2">
    <w:name w:val="Body Text Indent 2"/>
    <w:basedOn w:val="a"/>
    <w:link w:val="20"/>
    <w:uiPriority w:val="99"/>
    <w:semiHidden/>
    <w:unhideWhenUsed/>
    <w:rsid w:val="008B73C1"/>
    <w:pPr>
      <w:spacing w:after="120" w:line="480" w:lineRule="auto"/>
      <w:ind w:left="283"/>
    </w:pPr>
  </w:style>
  <w:style w:type="character" w:customStyle="1" w:styleId="20">
    <w:name w:val="Основний текст з відступом 2 Знак"/>
    <w:basedOn w:val="a0"/>
    <w:link w:val="2"/>
    <w:uiPriority w:val="99"/>
    <w:semiHidden/>
    <w:rsid w:val="008B73C1"/>
    <w:rPr>
      <w:rFonts w:ascii="Times New Roman" w:eastAsia="Times New Roman" w:hAnsi="Times New Roman" w:cs="Times New Roman"/>
      <w:sz w:val="24"/>
      <w:szCs w:val="24"/>
      <w:lang w:eastAsia="ru-RU"/>
    </w:rPr>
  </w:style>
  <w:style w:type="character" w:customStyle="1" w:styleId="WW8Num1z3">
    <w:name w:val="WW8Num1z3"/>
    <w:rsid w:val="008B73C1"/>
  </w:style>
  <w:style w:type="paragraph" w:customStyle="1" w:styleId="21">
    <w:name w:val="Основной текст с отступом 21"/>
    <w:basedOn w:val="a"/>
    <w:rsid w:val="008B73C1"/>
    <w:pPr>
      <w:suppressAutoHyphens/>
      <w:spacing w:after="120" w:line="480" w:lineRule="auto"/>
      <w:ind w:left="283"/>
    </w:pPr>
    <w:rPr>
      <w:rFonts w:ascii="Calibri" w:hAnsi="Calibri"/>
      <w:sz w:val="22"/>
      <w:szCs w:val="22"/>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40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60EC7-B5E2-4AC2-8F31-49ADF6D0F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1959</Words>
  <Characters>1117</Characters>
  <Application>Microsoft Office Word</Application>
  <DocSecurity>0</DocSecurity>
  <Lines>9</Lines>
  <Paragraphs>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Хмелівський Олександр Вікторович</dc:creator>
  <cp:keywords/>
  <dc:description/>
  <cp:lastModifiedBy>Хмелівський Олександр Вікторович</cp:lastModifiedBy>
  <cp:revision>4</cp:revision>
  <cp:lastPrinted>2022-12-02T09:51:00Z</cp:lastPrinted>
  <dcterms:created xsi:type="dcterms:W3CDTF">2022-12-02T10:01:00Z</dcterms:created>
  <dcterms:modified xsi:type="dcterms:W3CDTF">2022-12-02T10:01:00Z</dcterms:modified>
</cp:coreProperties>
</file>