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3C695E68" w14:textId="1ADB87AB" w:rsidR="003875DA" w:rsidRPr="00E801D4" w:rsidRDefault="007F6F93" w:rsidP="00E801D4">
      <w:pPr>
        <w:pStyle w:val="af1"/>
        <w:tabs>
          <w:tab w:val="left" w:pos="567"/>
        </w:tabs>
        <w:ind w:right="-142" w:firstLine="0"/>
        <w:rPr>
          <w:sz w:val="24"/>
          <w:szCs w:val="24"/>
        </w:rPr>
      </w:pPr>
      <w:r w:rsidRPr="00FD0028">
        <w:rPr>
          <w:bCs/>
          <w:sz w:val="24"/>
          <w:szCs w:val="24"/>
        </w:rPr>
        <w:t>_________________________________________________</w:t>
      </w:r>
      <w:r w:rsidR="00FD0028" w:rsidRPr="00E801D4">
        <w:rPr>
          <w:bCs/>
          <w:sz w:val="24"/>
          <w:szCs w:val="24"/>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E801D4">
        <w:rPr>
          <w:sz w:val="24"/>
          <w:szCs w:val="24"/>
        </w:rPr>
        <w:t>___________</w:t>
      </w:r>
      <w:r w:rsidR="004B74E4" w:rsidRPr="00FC37E4">
        <w:rPr>
          <w:sz w:val="24"/>
          <w:szCs w:val="24"/>
        </w:rPr>
        <w:t xml:space="preserve">_ з одного боку, та </w:t>
      </w:r>
      <w:r w:rsidR="00E801D4" w:rsidRPr="00CA1842">
        <w:rPr>
          <w:sz w:val="24"/>
          <w:szCs w:val="24"/>
        </w:rPr>
        <w:t xml:space="preserve">    </w:t>
      </w:r>
      <w:r w:rsidR="00E801D4" w:rsidRPr="00CA1842">
        <w:rPr>
          <w:b/>
          <w:bCs/>
          <w:sz w:val="24"/>
          <w:szCs w:val="24"/>
        </w:rPr>
        <w:t>Д</w:t>
      </w:r>
      <w:r w:rsidR="00E801D4">
        <w:rPr>
          <w:b/>
          <w:bCs/>
          <w:sz w:val="24"/>
          <w:szCs w:val="24"/>
        </w:rPr>
        <w:t xml:space="preserve">ержавний професійно-технічний навчальний заклад </w:t>
      </w:r>
      <w:r w:rsidR="00E801D4" w:rsidRPr="00CA1842">
        <w:rPr>
          <w:b/>
          <w:bCs/>
          <w:sz w:val="24"/>
          <w:szCs w:val="24"/>
        </w:rPr>
        <w:t>«Криворізький навчально – виробничий центр»</w:t>
      </w:r>
      <w:r w:rsidR="00E801D4" w:rsidRPr="00CA1842">
        <w:rPr>
          <w:sz w:val="24"/>
          <w:szCs w:val="24"/>
        </w:rPr>
        <w:t xml:space="preserve"> </w:t>
      </w:r>
      <w:r w:rsidR="00E801D4" w:rsidRPr="00FC37E4">
        <w:rPr>
          <w:sz w:val="24"/>
          <w:szCs w:val="24"/>
        </w:rPr>
        <w:t xml:space="preserve">(надалі – </w:t>
      </w:r>
      <w:r w:rsidR="00E801D4" w:rsidRPr="00FC37E4">
        <w:rPr>
          <w:b/>
          <w:sz w:val="24"/>
          <w:szCs w:val="24"/>
        </w:rPr>
        <w:t>Споживач</w:t>
      </w:r>
      <w:r w:rsidR="00E801D4" w:rsidRPr="00FC37E4">
        <w:rPr>
          <w:sz w:val="24"/>
          <w:szCs w:val="24"/>
        </w:rPr>
        <w:t>)</w:t>
      </w:r>
      <w:r w:rsidR="00E801D4" w:rsidRPr="00FC37E4">
        <w:rPr>
          <w:b/>
          <w:sz w:val="24"/>
          <w:szCs w:val="24"/>
        </w:rPr>
        <w:t>,</w:t>
      </w:r>
      <w:r w:rsidR="00E801D4" w:rsidRPr="00FC37E4">
        <w:rPr>
          <w:sz w:val="24"/>
          <w:szCs w:val="24"/>
        </w:rPr>
        <w:t xml:space="preserve"> </w:t>
      </w:r>
      <w:r w:rsidR="004B74E4" w:rsidRPr="00FC37E4">
        <w:rPr>
          <w:sz w:val="24"/>
          <w:szCs w:val="24"/>
        </w:rPr>
        <w:t>що здійснює діяльність на підставі</w:t>
      </w:r>
      <w:r w:rsidR="004B74E4" w:rsidRPr="00FC37E4">
        <w:rPr>
          <w:sz w:val="22"/>
          <w:szCs w:val="22"/>
        </w:rPr>
        <w:t xml:space="preserve"> </w:t>
      </w:r>
      <w:r w:rsidR="00EF5A02">
        <w:rPr>
          <w:sz w:val="22"/>
          <w:szCs w:val="22"/>
        </w:rPr>
        <w:t>Статуту</w:t>
      </w:r>
      <w:r w:rsidR="004B74E4" w:rsidRPr="00FC37E4">
        <w:rPr>
          <w:b/>
          <w:sz w:val="24"/>
          <w:szCs w:val="24"/>
        </w:rPr>
        <w:t>,</w:t>
      </w:r>
      <w:r w:rsidR="000A7203" w:rsidRPr="00FC37E4">
        <w:rPr>
          <w:sz w:val="24"/>
          <w:szCs w:val="24"/>
        </w:rPr>
        <w:t xml:space="preserve"> в особі</w:t>
      </w:r>
      <w:r w:rsidR="00E801D4" w:rsidRPr="00E801D4">
        <w:rPr>
          <w:sz w:val="24"/>
          <w:szCs w:val="24"/>
        </w:rPr>
        <w:t xml:space="preserve"> директора Кісліченка Володимира Миколайовича</w:t>
      </w:r>
      <w:r w:rsidR="00E801D4">
        <w:rPr>
          <w:sz w:val="24"/>
          <w:szCs w:val="24"/>
        </w:rPr>
        <w:t xml:space="preserve"> </w:t>
      </w:r>
      <w:r w:rsidR="004B74E4" w:rsidRPr="00FC37E4">
        <w:rPr>
          <w:sz w:val="24"/>
          <w:szCs w:val="24"/>
        </w:rPr>
        <w:t xml:space="preserve">що діє на підставі </w:t>
      </w:r>
      <w:r w:rsidR="00E801D4">
        <w:rPr>
          <w:sz w:val="24"/>
          <w:szCs w:val="24"/>
        </w:rPr>
        <w:t>Статуту</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sz w:val="24"/>
          <w:szCs w:val="24"/>
        </w:rPr>
        <w:t>Кабміну від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07B1C6C"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4730F6">
        <w:rPr>
          <w:rFonts w:ascii="Times New Roman" w:eastAsia="Times New Roman" w:hAnsi="Times New Roman" w:cs="Times New Roman"/>
          <w:sz w:val="24"/>
          <w:szCs w:val="24"/>
          <w:lang w:val="uk-UA" w:eastAsia="ru-RU"/>
        </w:rPr>
        <w:t xml:space="preserve"> з розподілом</w:t>
      </w:r>
      <w:bookmarkStart w:id="0" w:name="_GoBack"/>
      <w:bookmarkEnd w:id="0"/>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3B718702"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EF5A02">
        <w:rPr>
          <w:rFonts w:ascii="Times New Roman" w:eastAsia="Times New Roman" w:hAnsi="Times New Roman" w:cs="Times New Roman"/>
          <w:sz w:val="24"/>
          <w:szCs w:val="24"/>
          <w:lang w:val="uk-UA" w:eastAsia="ru-RU"/>
        </w:rPr>
        <w:t xml:space="preserve">з 01.01.2024 року по 31.12.2024 року </w:t>
      </w:r>
      <w:r w:rsidRPr="00EF5A02">
        <w:rPr>
          <w:rFonts w:ascii="Times New Roman" w:eastAsia="Times New Roman" w:hAnsi="Times New Roman" w:cs="Times New Roman"/>
          <w:color w:val="FF0000"/>
          <w:sz w:val="24"/>
          <w:szCs w:val="24"/>
          <w:lang w:val="uk-UA" w:eastAsia="ru-RU"/>
        </w:rPr>
        <w:t xml:space="preserve">становить </w:t>
      </w:r>
      <w:r w:rsidR="00F06C65">
        <w:rPr>
          <w:rFonts w:ascii="Times New Roman" w:eastAsia="Times New Roman" w:hAnsi="Times New Roman" w:cs="Times New Roman"/>
          <w:color w:val="FF0000"/>
          <w:sz w:val="24"/>
          <w:szCs w:val="24"/>
          <w:lang w:val="uk-UA" w:eastAsia="ru-RU"/>
        </w:rPr>
        <w:t xml:space="preserve">38 797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3BC0D9BF"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EF5A02">
        <w:rPr>
          <w:rFonts w:ascii="Times New Roman" w:eastAsia="Times New Roman" w:hAnsi="Times New Roman" w:cs="Times New Roman"/>
          <w:sz w:val="24"/>
          <w:szCs w:val="24"/>
          <w:lang w:val="uk-UA" w:eastAsia="ru-RU"/>
        </w:rPr>
        <w:t>з 01.01.2024 року по 31.12.2024 року</w:t>
      </w:r>
      <w:r w:rsidR="00DB6DDB" w:rsidRPr="00FC37E4">
        <w:rPr>
          <w:rFonts w:ascii="Times New Roman" w:eastAsia="Times New Roman" w:hAnsi="Times New Roman" w:cs="Times New Roman"/>
          <w:sz w:val="24"/>
          <w:szCs w:val="24"/>
          <w:lang w:val="uk-UA" w:eastAsia="ru-RU"/>
        </w:rPr>
        <w:t>.</w:t>
      </w:r>
    </w:p>
    <w:p w14:paraId="54A64DCF" w14:textId="0F179F15" w:rsidR="00EF5A02" w:rsidRPr="00FC37E4" w:rsidRDefault="00DB6DDB" w:rsidP="00EF5A02">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EF5A02">
        <w:rPr>
          <w:rFonts w:ascii="Times New Roman" w:eastAsia="Times New Roman" w:hAnsi="Times New Roman" w:cs="Times New Roman"/>
          <w:sz w:val="24"/>
          <w:szCs w:val="24"/>
          <w:lang w:val="uk-UA" w:eastAsia="ru-RU"/>
        </w:rPr>
        <w:t>50</w:t>
      </w:r>
      <w:r w:rsidR="00E26EDE">
        <w:rPr>
          <w:rFonts w:ascii="Times New Roman" w:eastAsia="Times New Roman" w:hAnsi="Times New Roman" w:cs="Times New Roman"/>
          <w:sz w:val="24"/>
          <w:szCs w:val="24"/>
          <w:lang w:val="uk-UA" w:eastAsia="ru-RU"/>
        </w:rPr>
        <w:t>082</w:t>
      </w:r>
      <w:r w:rsidR="00EF5A02">
        <w:rPr>
          <w:rFonts w:ascii="Times New Roman" w:eastAsia="Times New Roman" w:hAnsi="Times New Roman" w:cs="Times New Roman"/>
          <w:sz w:val="24"/>
          <w:szCs w:val="24"/>
          <w:lang w:val="uk-UA" w:eastAsia="ru-RU"/>
        </w:rPr>
        <w:t>, м. Кривий Ріг, вул. Каштанова,35.</w:t>
      </w:r>
    </w:p>
    <w:p w14:paraId="133F3FD2" w14:textId="0B03DCC3" w:rsidR="00106760" w:rsidRPr="00FC37E4" w:rsidRDefault="005D70A3" w:rsidP="00EF5A0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06760" w:rsidRPr="00FC37E4">
        <w:rPr>
          <w:rFonts w:ascii="Times New Roman" w:hAnsi="Times New Roman"/>
          <w:sz w:val="24"/>
          <w:lang w:val="uk-UA"/>
        </w:rPr>
        <w:lastRenderedPageBreak/>
        <w:t xml:space="preserve">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r w:rsidR="0069164F" w:rsidRPr="00FC37E4">
        <w:rPr>
          <w:rFonts w:ascii="Times New Roman" w:hAnsi="Times New Roman" w:cs="Times New Roman"/>
        </w:rPr>
        <w:t xml:space="preserve">або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lastRenderedPageBreak/>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lastRenderedPageBreak/>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29B40679"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F37AE7">
        <w:rPr>
          <w:sz w:val="24"/>
          <w:szCs w:val="24"/>
        </w:rPr>
        <w:t>31</w:t>
      </w:r>
      <w:r w:rsidR="00792B82" w:rsidRPr="00FC37E4">
        <w:rPr>
          <w:sz w:val="24"/>
          <w:szCs w:val="24"/>
        </w:rPr>
        <w:t>»</w:t>
      </w:r>
      <w:r w:rsidR="00F37AE7">
        <w:rPr>
          <w:sz w:val="24"/>
          <w:szCs w:val="24"/>
        </w:rPr>
        <w:t xml:space="preserve"> грудня</w:t>
      </w:r>
      <w:r w:rsidR="00792B82" w:rsidRPr="00FC37E4">
        <w:rPr>
          <w:sz w:val="24"/>
          <w:szCs w:val="24"/>
        </w:rPr>
        <w:t xml:space="preserve"> 20</w:t>
      </w:r>
      <w:r w:rsidR="00F37AE7">
        <w:rPr>
          <w:sz w:val="24"/>
          <w:szCs w:val="24"/>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lastRenderedPageBreak/>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2" w:name="n75"/>
      <w:bookmarkStart w:id="3" w:name="n76"/>
      <w:bookmarkEnd w:id="2"/>
      <w:bookmarkEnd w:id="3"/>
      <w:r>
        <w:rPr>
          <w:color w:val="333333"/>
        </w:rPr>
        <w:t>2</w:t>
      </w:r>
      <w:r w:rsidR="002B3E17">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4" w:name="n77"/>
      <w:bookmarkEnd w:id="4"/>
      <w:r>
        <w:rPr>
          <w:color w:val="333333"/>
        </w:rPr>
        <w:t>3</w:t>
      </w:r>
      <w:r w:rsidR="002B3E17">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5" w:name="n374"/>
      <w:bookmarkStart w:id="6" w:name="n78"/>
      <w:bookmarkEnd w:id="5"/>
      <w:bookmarkEnd w:id="6"/>
      <w:r>
        <w:rPr>
          <w:color w:val="333333"/>
        </w:rPr>
        <w:t>4</w:t>
      </w:r>
      <w:r w:rsidR="002B3E17">
        <w:rPr>
          <w:color w:val="333333"/>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7" w:name="n79"/>
      <w:bookmarkEnd w:id="7"/>
      <w:r>
        <w:rPr>
          <w:color w:val="333333"/>
        </w:rPr>
        <w:t>5</w:t>
      </w:r>
      <w:r w:rsidR="002B3E17">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8" w:name="n80"/>
      <w:bookmarkEnd w:id="8"/>
      <w:r>
        <w:rPr>
          <w:color w:val="333333"/>
        </w:rPr>
        <w:t>6</w:t>
      </w:r>
      <w:r w:rsidR="002B3E17">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DF6C8A" w:rsidRDefault="00DF6C8A" w:rsidP="00E658FB">
      <w:pPr>
        <w:pStyle w:val="rvps2"/>
        <w:shd w:val="clear" w:color="auto" w:fill="FFFFFF"/>
        <w:spacing w:after="150" w:afterAutospacing="0"/>
        <w:ind w:firstLine="450"/>
        <w:jc w:val="both"/>
      </w:pPr>
      <w:bookmarkStart w:id="9" w:name="n81"/>
      <w:bookmarkEnd w:id="9"/>
      <w:r>
        <w:rPr>
          <w:color w:val="333333"/>
        </w:rPr>
        <w:t>7</w:t>
      </w:r>
      <w:r w:rsidR="002B3E17">
        <w:rPr>
          <w:color w:val="333333"/>
        </w:rPr>
        <w:t>) зміни умов у зв’язку із застосуванням положень </w:t>
      </w:r>
      <w:hyperlink r:id="rId11" w:anchor="n1778" w:tgtFrame="_blank" w:history="1">
        <w:r w:rsidR="002B3E17">
          <w:rPr>
            <w:rStyle w:val="af3"/>
            <w:color w:val="000099"/>
          </w:rPr>
          <w:t>частини шостої</w:t>
        </w:r>
      </w:hyperlink>
      <w:r w:rsidR="002B3E17">
        <w:rPr>
          <w:color w:val="333333"/>
        </w:rPr>
        <w:t> статті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10912" w:type="dxa"/>
        <w:tblInd w:w="-176" w:type="dxa"/>
        <w:tblLayout w:type="fixed"/>
        <w:tblLook w:val="04A0" w:firstRow="1" w:lastRow="0" w:firstColumn="1" w:lastColumn="0" w:noHBand="0" w:noVBand="1"/>
      </w:tblPr>
      <w:tblGrid>
        <w:gridCol w:w="416"/>
        <w:gridCol w:w="4452"/>
        <w:gridCol w:w="490"/>
        <w:gridCol w:w="5308"/>
        <w:gridCol w:w="246"/>
      </w:tblGrid>
      <w:tr w:rsidR="00FF26AD" w:rsidRPr="00FC37E4" w14:paraId="0CB5B114" w14:textId="77777777" w:rsidTr="00E26EDE">
        <w:trPr>
          <w:gridAfter w:val="1"/>
          <w:wAfter w:w="246"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5798" w:type="dxa"/>
            <w:gridSpan w:val="2"/>
            <w:shd w:val="clear" w:color="auto" w:fill="auto"/>
          </w:tcPr>
          <w:tbl>
            <w:tblPr>
              <w:tblW w:w="10095" w:type="dxa"/>
              <w:tblLayout w:type="fixed"/>
              <w:tblLook w:val="04A0" w:firstRow="1" w:lastRow="0" w:firstColumn="1" w:lastColumn="0" w:noHBand="0" w:noVBand="1"/>
            </w:tblPr>
            <w:tblGrid>
              <w:gridCol w:w="10095"/>
            </w:tblGrid>
            <w:tr w:rsidR="00E26EDE" w:rsidRPr="00FC37E4" w14:paraId="06565F78" w14:textId="77777777" w:rsidTr="00EF32A5">
              <w:trPr>
                <w:trHeight w:val="65"/>
              </w:trPr>
              <w:tc>
                <w:tcPr>
                  <w:tcW w:w="4710" w:type="dxa"/>
                  <w:shd w:val="clear" w:color="auto" w:fill="auto"/>
                </w:tcPr>
                <w:p w14:paraId="1BDCF2AC" w14:textId="77777777" w:rsidR="00E26EDE" w:rsidRPr="00FC37E4" w:rsidRDefault="00E26EDE" w:rsidP="00E26EDE">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E26EDE" w:rsidRPr="00FC37E4" w14:paraId="2E4118DF" w14:textId="77777777" w:rsidTr="00EF32A5">
              <w:trPr>
                <w:trHeight w:val="3430"/>
              </w:trPr>
              <w:tc>
                <w:tcPr>
                  <w:tcW w:w="4710" w:type="dxa"/>
                  <w:shd w:val="clear" w:color="auto" w:fill="auto"/>
                </w:tcPr>
                <w:p w14:paraId="3A992DCD" w14:textId="77777777" w:rsidR="00E26EDE" w:rsidRPr="002F3DA5"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ДПТНЗ «Криворізький навчально-виробничий центр»</w:t>
                  </w:r>
                </w:p>
                <w:p w14:paraId="41F9ACC7" w14:textId="2266316D" w:rsidR="00E26EDE"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Місцезнаходження: 50</w:t>
                  </w:r>
                  <w:r>
                    <w:rPr>
                      <w:rFonts w:ascii="Times New Roman" w:hAnsi="Times New Roman" w:cs="Times New Roman"/>
                      <w:sz w:val="24"/>
                      <w:szCs w:val="24"/>
                      <w:lang w:val="uk-UA"/>
                    </w:rPr>
                    <w:t>082</w:t>
                  </w:r>
                  <w:r w:rsidRPr="002F3DA5">
                    <w:rPr>
                      <w:rFonts w:ascii="Times New Roman" w:hAnsi="Times New Roman" w:cs="Times New Roman"/>
                      <w:sz w:val="24"/>
                      <w:szCs w:val="24"/>
                      <w:lang w:val="uk-UA"/>
                    </w:rPr>
                    <w:t>, м. Кривий Ріг</w:t>
                  </w:r>
                  <w:r>
                    <w:rPr>
                      <w:rFonts w:ascii="Times New Roman" w:hAnsi="Times New Roman" w:cs="Times New Roman"/>
                      <w:sz w:val="24"/>
                      <w:szCs w:val="24"/>
                      <w:lang w:val="uk-UA"/>
                    </w:rPr>
                    <w:t>,</w:t>
                  </w:r>
                </w:p>
                <w:p w14:paraId="217ED596" w14:textId="68DB5931" w:rsidR="00E26EDE" w:rsidRPr="002F3DA5"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 xml:space="preserve"> вул. </w:t>
                  </w:r>
                  <w:r>
                    <w:rPr>
                      <w:rFonts w:ascii="Times New Roman" w:hAnsi="Times New Roman" w:cs="Times New Roman"/>
                      <w:sz w:val="24"/>
                      <w:szCs w:val="24"/>
                      <w:lang w:val="uk-UA"/>
                    </w:rPr>
                    <w:t>Каштанова</w:t>
                  </w:r>
                  <w:r w:rsidRPr="002F3DA5">
                    <w:rPr>
                      <w:rFonts w:ascii="Times New Roman" w:hAnsi="Times New Roman" w:cs="Times New Roman"/>
                      <w:sz w:val="24"/>
                      <w:szCs w:val="24"/>
                      <w:lang w:val="uk-UA"/>
                    </w:rPr>
                    <w:t>,</w:t>
                  </w:r>
                  <w:r>
                    <w:rPr>
                      <w:rFonts w:ascii="Times New Roman" w:hAnsi="Times New Roman" w:cs="Times New Roman"/>
                      <w:sz w:val="24"/>
                      <w:szCs w:val="24"/>
                      <w:lang w:val="uk-UA"/>
                    </w:rPr>
                    <w:t>3</w:t>
                  </w:r>
                  <w:r w:rsidRPr="002F3DA5">
                    <w:rPr>
                      <w:rFonts w:ascii="Times New Roman" w:hAnsi="Times New Roman" w:cs="Times New Roman"/>
                      <w:sz w:val="24"/>
                      <w:szCs w:val="24"/>
                      <w:lang w:val="uk-UA"/>
                    </w:rPr>
                    <w:t>5</w:t>
                  </w:r>
                </w:p>
                <w:p w14:paraId="19D4933E" w14:textId="77777777" w:rsidR="00E26EDE" w:rsidRPr="002F3DA5"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код ЄДРПОУ 02549581</w:t>
                  </w:r>
                </w:p>
                <w:p w14:paraId="0B216A66" w14:textId="77777777" w:rsidR="00E26EDE" w:rsidRPr="002F3DA5"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IBAN  UA438201720344241005200016666</w:t>
                  </w:r>
                </w:p>
                <w:p w14:paraId="1BFB795D" w14:textId="77777777" w:rsidR="00E26EDE" w:rsidRPr="002F3DA5"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IBAN  UA278201720344250005000016666</w:t>
                  </w:r>
                </w:p>
                <w:p w14:paraId="196BA201" w14:textId="77777777" w:rsidR="00E26EDE" w:rsidRPr="002F3DA5" w:rsidRDefault="00E26EDE" w:rsidP="00E26EDE">
                  <w:pPr>
                    <w:tabs>
                      <w:tab w:val="left" w:pos="1080"/>
                    </w:tabs>
                    <w:spacing w:line="240" w:lineRule="auto"/>
                    <w:rPr>
                      <w:rFonts w:ascii="Times New Roman" w:hAnsi="Times New Roman" w:cs="Times New Roman"/>
                      <w:sz w:val="24"/>
                      <w:szCs w:val="24"/>
                      <w:lang w:val="uk-UA"/>
                    </w:rPr>
                  </w:pPr>
                  <w:r w:rsidRPr="002F3DA5">
                    <w:rPr>
                      <w:rFonts w:ascii="Times New Roman" w:hAnsi="Times New Roman" w:cs="Times New Roman"/>
                      <w:sz w:val="24"/>
                      <w:szCs w:val="24"/>
                      <w:lang w:val="uk-UA"/>
                    </w:rPr>
                    <w:t xml:space="preserve">електронна пошта </w:t>
                  </w:r>
                  <w:hyperlink r:id="rId12" w:history="1">
                    <w:r w:rsidRPr="002F3DA5">
                      <w:rPr>
                        <w:rFonts w:ascii="Times New Roman" w:hAnsi="Times New Roman" w:cs="Times New Roman"/>
                        <w:sz w:val="24"/>
                        <w:szCs w:val="24"/>
                        <w:lang w:val="uk-UA"/>
                      </w:rPr>
                      <w:t>knvc.buh@ukr.net</w:t>
                    </w:r>
                  </w:hyperlink>
                  <w:r w:rsidRPr="002F3DA5">
                    <w:rPr>
                      <w:rFonts w:ascii="Times New Roman" w:hAnsi="Times New Roman" w:cs="Times New Roman"/>
                      <w:sz w:val="24"/>
                      <w:szCs w:val="24"/>
                      <w:lang w:val="uk-UA"/>
                    </w:rPr>
                    <w:t xml:space="preserve"> </w:t>
                  </w:r>
                </w:p>
                <w:p w14:paraId="7AFBF05D" w14:textId="2A13702F" w:rsidR="00E26EDE" w:rsidRPr="00E26EDE" w:rsidRDefault="00E26EDE" w:rsidP="00E26EDE">
                  <w:pPr>
                    <w:spacing w:line="240" w:lineRule="auto"/>
                    <w:jc w:val="both"/>
                    <w:rPr>
                      <w:rFonts w:ascii="Times New Roman" w:hAnsi="Times New Roman" w:cs="Times New Roman"/>
                      <w:sz w:val="24"/>
                      <w:szCs w:val="24"/>
                      <w:lang w:val="uk-UA"/>
                    </w:rPr>
                  </w:pPr>
                  <w:r w:rsidRPr="002F3DA5">
                    <w:rPr>
                      <w:rFonts w:ascii="Times New Roman" w:hAnsi="Times New Roman" w:cs="Times New Roman"/>
                      <w:sz w:val="24"/>
                      <w:szCs w:val="24"/>
                      <w:lang w:val="uk-UA"/>
                    </w:rPr>
                    <w:t>конт. телефон 0</w:t>
                  </w:r>
                  <w:r>
                    <w:rPr>
                      <w:rFonts w:ascii="Times New Roman" w:hAnsi="Times New Roman" w:cs="Times New Roman"/>
                      <w:sz w:val="24"/>
                      <w:szCs w:val="24"/>
                      <w:lang w:val="uk-UA"/>
                    </w:rPr>
                    <w:t>685398173</w:t>
                  </w:r>
                  <w:r w:rsidRPr="002F3DA5">
                    <w:rPr>
                      <w:rFonts w:ascii="Times New Roman" w:hAnsi="Times New Roman" w:cs="Times New Roman"/>
                      <w:sz w:val="24"/>
                      <w:szCs w:val="24"/>
                      <w:lang w:val="uk-UA"/>
                    </w:rPr>
                    <w:t xml:space="preserve">                          </w:t>
                  </w:r>
                  <w:r w:rsidRPr="002F3DA5">
                    <w:rPr>
                      <w:rFonts w:ascii="Times New Roman" w:hAnsi="Times New Roman" w:cs="Times New Roman"/>
                      <w:sz w:val="24"/>
                      <w:szCs w:val="24"/>
                      <w:lang w:val="uk-UA"/>
                    </w:rPr>
                    <w:tab/>
                  </w:r>
                  <w:r w:rsidRPr="002F3DA5">
                    <w:rPr>
                      <w:rFonts w:ascii="Times New Roman" w:hAnsi="Times New Roman" w:cs="Times New Roman"/>
                      <w:sz w:val="24"/>
                      <w:szCs w:val="24"/>
                      <w:lang w:val="uk-UA"/>
                    </w:rPr>
                    <w:tab/>
                  </w:r>
                  <w:r w:rsidRPr="00AD5E44">
                    <w:rPr>
                      <w:color w:val="000000"/>
                      <w:sz w:val="23"/>
                      <w:szCs w:val="23"/>
                    </w:rPr>
                    <w:t xml:space="preserve">     </w:t>
                  </w:r>
                  <w:r w:rsidRPr="00AD5E44">
                    <w:rPr>
                      <w:color w:val="000000"/>
                      <w:sz w:val="23"/>
                      <w:szCs w:val="23"/>
                      <w:vertAlign w:val="superscript"/>
                    </w:rPr>
                    <w:t xml:space="preserve"> </w:t>
                  </w:r>
                  <w:r w:rsidRPr="00AD5E44">
                    <w:rPr>
                      <w:color w:val="000000"/>
                      <w:sz w:val="23"/>
                      <w:szCs w:val="23"/>
                      <w:vertAlign w:val="superscript"/>
                    </w:rPr>
                    <w:tab/>
                    <w:t>                </w:t>
                  </w:r>
                </w:p>
              </w:tc>
            </w:tr>
          </w:tbl>
          <w:p w14:paraId="37387A39" w14:textId="360C7CE1" w:rsidR="00FD0028" w:rsidRPr="00E26EDE" w:rsidRDefault="00E26EDE" w:rsidP="00C74352">
            <w:pPr>
              <w:spacing w:after="0" w:line="240" w:lineRule="auto"/>
              <w:jc w:val="both"/>
              <w:rPr>
                <w:rFonts w:ascii="Times New Roman" w:eastAsia="Calibri" w:hAnsi="Times New Roman" w:cs="Times New Roman"/>
                <w:b/>
                <w:lang w:eastAsia="ru-RU"/>
              </w:rPr>
            </w:pPr>
            <w:r w:rsidRPr="002F3DA5">
              <w:rPr>
                <w:rFonts w:ascii="Times New Roman" w:hAnsi="Times New Roman" w:cs="Times New Roman"/>
                <w:sz w:val="24"/>
                <w:szCs w:val="24"/>
                <w:lang w:val="uk-UA"/>
              </w:rPr>
              <w:t>Директор  ____</w:t>
            </w:r>
            <w:r>
              <w:rPr>
                <w:rFonts w:ascii="Times New Roman" w:hAnsi="Times New Roman" w:cs="Times New Roman"/>
                <w:sz w:val="24"/>
                <w:szCs w:val="24"/>
                <w:lang w:val="uk-UA"/>
              </w:rPr>
              <w:t>_____</w:t>
            </w:r>
            <w:r w:rsidRPr="002F3DA5">
              <w:rPr>
                <w:rFonts w:ascii="Times New Roman" w:hAnsi="Times New Roman" w:cs="Times New Roman"/>
                <w:sz w:val="24"/>
                <w:szCs w:val="24"/>
                <w:lang w:val="uk-UA"/>
              </w:rPr>
              <w:t>В</w:t>
            </w:r>
            <w:r>
              <w:rPr>
                <w:rFonts w:ascii="Times New Roman" w:hAnsi="Times New Roman" w:cs="Times New Roman"/>
                <w:sz w:val="24"/>
                <w:szCs w:val="24"/>
                <w:lang w:val="uk-UA"/>
              </w:rPr>
              <w:t xml:space="preserve">олодимир </w:t>
            </w:r>
            <w:r w:rsidRPr="002F3DA5">
              <w:rPr>
                <w:rFonts w:ascii="Times New Roman" w:hAnsi="Times New Roman" w:cs="Times New Roman"/>
                <w:sz w:val="24"/>
                <w:szCs w:val="24"/>
                <w:lang w:val="uk-UA"/>
              </w:rPr>
              <w:t>К</w:t>
            </w:r>
            <w:r>
              <w:rPr>
                <w:rFonts w:ascii="Times New Roman" w:hAnsi="Times New Roman" w:cs="Times New Roman"/>
                <w:sz w:val="24"/>
                <w:szCs w:val="24"/>
                <w:lang w:val="uk-UA"/>
              </w:rPr>
              <w:t>ІСЛІЧЕНКО</w:t>
            </w:r>
          </w:p>
        </w:tc>
      </w:tr>
      <w:tr w:rsidR="00FD0028" w:rsidRPr="00FC37E4" w14:paraId="51BB921A" w14:textId="77777777" w:rsidTr="00E26EDE">
        <w:trPr>
          <w:gridAfter w:val="1"/>
          <w:wAfter w:w="246"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24DEB5BD" w14:textId="77777777" w:rsidR="00E26EDE" w:rsidRDefault="00FD0028" w:rsidP="00C74352">
            <w:pPr>
              <w:spacing w:after="0" w:line="240" w:lineRule="auto"/>
              <w:ind w:right="175"/>
              <w:jc w:val="both"/>
              <w:rPr>
                <w:rFonts w:ascii="Times New Roman" w:hAnsi="Times New Roman" w:cs="Times New Roman"/>
                <w:sz w:val="20"/>
                <w:szCs w:val="20"/>
                <w:lang w:val="en-US"/>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p>
          <w:p w14:paraId="4735FB0E" w14:textId="7BB6ACE3" w:rsidR="00FD0028" w:rsidRPr="00FC37E4" w:rsidRDefault="00E26EDE" w:rsidP="00C74352">
            <w:pPr>
              <w:spacing w:after="0" w:line="240" w:lineRule="auto"/>
              <w:ind w:right="175"/>
              <w:jc w:val="both"/>
              <w:rPr>
                <w:rFonts w:ascii="Times New Roman" w:hAnsi="Times New Roman" w:cs="Times New Roman"/>
                <w:lang w:val="uk-UA" w:eastAsia="ru-RU"/>
              </w:rPr>
            </w:pPr>
            <w:r>
              <w:rPr>
                <w:rFonts w:ascii="Times New Roman" w:hAnsi="Times New Roman" w:cs="Times New Roman"/>
                <w:sz w:val="20"/>
                <w:szCs w:val="20"/>
                <w:lang w:val="uk-UA"/>
              </w:rPr>
              <w:t xml:space="preserve">           </w:t>
            </w:r>
            <w:r w:rsidR="00FD0028" w:rsidRPr="00FC37E4">
              <w:rPr>
                <w:rFonts w:ascii="Times New Roman" w:hAnsi="Times New Roman" w:cs="Times New Roman"/>
                <w:sz w:val="20"/>
                <w:szCs w:val="20"/>
                <w:lang w:val="en-US"/>
              </w:rPr>
              <w:t xml:space="preserve"> </w:t>
            </w:r>
            <w:r w:rsidR="00FD0028" w:rsidRPr="00FC37E4">
              <w:rPr>
                <w:rFonts w:ascii="Times New Roman" w:hAnsi="Times New Roman" w:cs="Times New Roman"/>
                <w:sz w:val="20"/>
                <w:szCs w:val="20"/>
                <w:lang w:val="uk-UA"/>
              </w:rPr>
              <w:t>М.П.</w:t>
            </w:r>
          </w:p>
        </w:tc>
        <w:tc>
          <w:tcPr>
            <w:tcW w:w="5798"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114BB8AA" w14:textId="77777777" w:rsidR="00E26EDE"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w:t>
            </w:r>
          </w:p>
          <w:p w14:paraId="09E16214" w14:textId="291666C5" w:rsidR="00FD0028" w:rsidRDefault="00E26EDE"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FD0028" w:rsidRPr="00FC37E4">
              <w:rPr>
                <w:rFonts w:ascii="Times New Roman" w:hAnsi="Times New Roman" w:cs="Times New Roman"/>
                <w:sz w:val="20"/>
                <w:szCs w:val="20"/>
                <w:lang w:val="uk-UA"/>
              </w:rPr>
              <w:t>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E26EDE">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555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252C" w14:textId="77777777" w:rsidR="006B0EBD" w:rsidRDefault="006B0EBD" w:rsidP="005A6197">
      <w:pPr>
        <w:spacing w:after="0" w:line="240" w:lineRule="auto"/>
      </w:pPr>
      <w:r>
        <w:separator/>
      </w:r>
    </w:p>
  </w:endnote>
  <w:endnote w:type="continuationSeparator" w:id="0">
    <w:p w14:paraId="3C5625CC" w14:textId="77777777" w:rsidR="006B0EBD" w:rsidRDefault="006B0EBD" w:rsidP="005A6197">
      <w:pPr>
        <w:spacing w:after="0" w:line="240" w:lineRule="auto"/>
      </w:pPr>
      <w:r>
        <w:continuationSeparator/>
      </w:r>
    </w:p>
  </w:endnote>
  <w:endnote w:type="continuationNotice" w:id="1">
    <w:p w14:paraId="011D78D2" w14:textId="77777777" w:rsidR="006B0EBD" w:rsidRDefault="006B0EBD"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B3E17">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B543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62D1" w14:textId="77777777" w:rsidR="006B0EBD" w:rsidRDefault="006B0EBD" w:rsidP="005A6197">
      <w:pPr>
        <w:spacing w:after="0" w:line="240" w:lineRule="auto"/>
      </w:pPr>
      <w:r>
        <w:separator/>
      </w:r>
    </w:p>
  </w:footnote>
  <w:footnote w:type="continuationSeparator" w:id="0">
    <w:p w14:paraId="4CF214B3" w14:textId="77777777" w:rsidR="006B0EBD" w:rsidRDefault="006B0EBD" w:rsidP="005A6197">
      <w:pPr>
        <w:spacing w:after="0" w:line="240" w:lineRule="auto"/>
      </w:pPr>
      <w:r>
        <w:continuationSeparator/>
      </w:r>
    </w:p>
  </w:footnote>
  <w:footnote w:type="continuationNotice" w:id="1">
    <w:p w14:paraId="6C2318BD" w14:textId="77777777" w:rsidR="006B0EBD" w:rsidRDefault="006B0EBD"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16A80"/>
    <w:rsid w:val="00321B85"/>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30F6"/>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0EB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48C"/>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4A7"/>
    <w:rsid w:val="00A5581D"/>
    <w:rsid w:val="00A6198E"/>
    <w:rsid w:val="00A67D86"/>
    <w:rsid w:val="00A71C13"/>
    <w:rsid w:val="00A77F75"/>
    <w:rsid w:val="00A85DA2"/>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6762"/>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26EDE"/>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01D4"/>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5A02"/>
    <w:rsid w:val="00EF7390"/>
    <w:rsid w:val="00EF7430"/>
    <w:rsid w:val="00F03231"/>
    <w:rsid w:val="00F06C65"/>
    <w:rsid w:val="00F112D2"/>
    <w:rsid w:val="00F15EEB"/>
    <w:rsid w:val="00F218CA"/>
    <w:rsid w:val="00F22812"/>
    <w:rsid w:val="00F23789"/>
    <w:rsid w:val="00F36C58"/>
    <w:rsid w:val="00F37AE7"/>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vc.buh@uk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9561E694-235F-4974-8DBD-CEF93330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4609</Words>
  <Characters>26273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dc:creator>
  <cp:keywords/>
  <dc:description/>
  <cp:lastModifiedBy>Byh</cp:lastModifiedBy>
  <cp:revision>6</cp:revision>
  <cp:lastPrinted>2020-01-16T16:06:00Z</cp:lastPrinted>
  <dcterms:created xsi:type="dcterms:W3CDTF">2023-12-05T07:40:00Z</dcterms:created>
  <dcterms:modified xsi:type="dcterms:W3CDTF">2023-12-07T08:08:00Z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