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955" w:tblpY="-56"/>
        <w:tblW w:w="0" w:type="auto"/>
        <w:tblLook w:val="04A0" w:firstRow="1" w:lastRow="0" w:firstColumn="1" w:lastColumn="0" w:noHBand="0" w:noVBand="1"/>
      </w:tblPr>
      <w:tblGrid>
        <w:gridCol w:w="5211"/>
      </w:tblGrid>
      <w:tr w:rsidR="00C1294A" w:rsidRPr="00C1294A" w14:paraId="07375B74" w14:textId="77777777" w:rsidTr="004B0182">
        <w:trPr>
          <w:trHeight w:val="570"/>
        </w:trPr>
        <w:tc>
          <w:tcPr>
            <w:tcW w:w="5211" w:type="dxa"/>
            <w:hideMark/>
          </w:tcPr>
          <w:p w14:paraId="1796A4C6" w14:textId="77777777" w:rsidR="00C1294A" w:rsidRPr="00C1294A" w:rsidRDefault="00C1294A" w:rsidP="00C1294A">
            <w:pPr>
              <w:ind w:firstLine="0"/>
              <w:rPr>
                <w:rFonts w:eastAsia="Times New Roman" w:cs="Times New Roman"/>
                <w:b/>
                <w:sz w:val="24"/>
                <w:szCs w:val="26"/>
                <w:lang w:eastAsia="ru-RU"/>
              </w:rPr>
            </w:pPr>
            <w:r w:rsidRPr="00C1294A">
              <w:rPr>
                <w:rFonts w:eastAsia="Times New Roman" w:cs="Times New Roman"/>
                <w:b/>
                <w:sz w:val="24"/>
                <w:szCs w:val="26"/>
                <w:lang w:eastAsia="ru-RU"/>
              </w:rPr>
              <w:t xml:space="preserve">Учасникам торгів </w:t>
            </w:r>
          </w:p>
          <w:p w14:paraId="093BEB3E" w14:textId="73AAF458" w:rsidR="00C1294A" w:rsidRPr="00C1294A" w:rsidRDefault="00C1294A" w:rsidP="00C1294A">
            <w:pPr>
              <w:ind w:firstLine="0"/>
              <w:rPr>
                <w:rFonts w:eastAsia="Times New Roman" w:cs="Times New Roman"/>
                <w:sz w:val="24"/>
                <w:szCs w:val="26"/>
                <w:lang w:val="ru-RU" w:eastAsia="ru-RU"/>
              </w:rPr>
            </w:pPr>
            <w:r w:rsidRPr="00C1294A">
              <w:rPr>
                <w:rFonts w:eastAsia="Times New Roman" w:cs="Times New Roman"/>
                <w:i/>
                <w:sz w:val="24"/>
                <w:szCs w:val="26"/>
                <w:lang w:eastAsia="ru-RU"/>
              </w:rPr>
              <w:t xml:space="preserve">Тендер </w:t>
            </w:r>
            <w:r w:rsidRPr="00C1294A">
              <w:rPr>
                <w:rFonts w:eastAsia="Times New Roman" w:cs="Times New Roman"/>
                <w:sz w:val="24"/>
                <w:szCs w:val="26"/>
                <w:lang w:eastAsia="ru-RU"/>
              </w:rPr>
              <w:t>№ у ЦБД:</w:t>
            </w:r>
            <w:r w:rsidRPr="00C1294A">
              <w:rPr>
                <w:rFonts w:ascii="Calibri" w:eastAsia="Calibri" w:hAnsi="Calibri" w:cs="Times New Roman"/>
                <w:sz w:val="22"/>
              </w:rPr>
              <w:t xml:space="preserve"> </w:t>
            </w:r>
            <w:r w:rsidRPr="00C1294A">
              <w:rPr>
                <w:rFonts w:eastAsia="Times New Roman" w:cs="Times New Roman"/>
                <w:sz w:val="24"/>
                <w:szCs w:val="26"/>
                <w:lang w:eastAsia="ru-RU"/>
              </w:rPr>
              <w:t>UA-2023-02-22-012538-a</w:t>
            </w:r>
          </w:p>
          <w:p w14:paraId="5ABC5C8C" w14:textId="77777777" w:rsidR="00C1294A" w:rsidRPr="00C1294A" w:rsidRDefault="00C1294A" w:rsidP="00C1294A">
            <w:pPr>
              <w:autoSpaceDN w:val="0"/>
              <w:ind w:firstLine="0"/>
              <w:rPr>
                <w:rFonts w:eastAsia="Times New Roman" w:cs="Times New Roman"/>
                <w:b/>
                <w:sz w:val="24"/>
                <w:szCs w:val="26"/>
                <w:lang w:eastAsia="ru-RU"/>
              </w:rPr>
            </w:pPr>
          </w:p>
        </w:tc>
      </w:tr>
    </w:tbl>
    <w:p w14:paraId="755B5CA4" w14:textId="77777777" w:rsidR="00C1294A" w:rsidRDefault="00C1294A"/>
    <w:p w14:paraId="47E5A66B" w14:textId="77777777" w:rsidR="00C1294A" w:rsidRDefault="00C1294A"/>
    <w:p w14:paraId="5897F479" w14:textId="77777777" w:rsidR="00C1294A" w:rsidRPr="00C1294A" w:rsidRDefault="00C1294A" w:rsidP="00C1294A">
      <w:pPr>
        <w:rPr>
          <w:b/>
          <w:i/>
          <w:sz w:val="24"/>
          <w:szCs w:val="24"/>
        </w:rPr>
      </w:pPr>
      <w:r w:rsidRPr="00C1294A">
        <w:rPr>
          <w:b/>
          <w:i/>
          <w:sz w:val="24"/>
          <w:szCs w:val="24"/>
        </w:rPr>
        <w:t xml:space="preserve">Щодо внесення змін </w:t>
      </w:r>
    </w:p>
    <w:p w14:paraId="588A9B99" w14:textId="77777777" w:rsidR="00C1294A" w:rsidRPr="00C1294A" w:rsidRDefault="00C1294A" w:rsidP="00C1294A">
      <w:pPr>
        <w:rPr>
          <w:b/>
          <w:i/>
          <w:sz w:val="24"/>
          <w:szCs w:val="24"/>
        </w:rPr>
      </w:pPr>
      <w:r w:rsidRPr="00C1294A">
        <w:rPr>
          <w:b/>
          <w:i/>
          <w:sz w:val="24"/>
          <w:szCs w:val="24"/>
        </w:rPr>
        <w:t xml:space="preserve"> </w:t>
      </w:r>
    </w:p>
    <w:p w14:paraId="58802E06" w14:textId="22B4BC07" w:rsidR="00C1294A" w:rsidRPr="00C1294A" w:rsidRDefault="00C1294A" w:rsidP="007526E2">
      <w:pPr>
        <w:jc w:val="both"/>
        <w:rPr>
          <w:i/>
          <w:sz w:val="24"/>
          <w:szCs w:val="24"/>
        </w:rPr>
      </w:pPr>
      <w:r w:rsidRPr="00C1294A">
        <w:rPr>
          <w:sz w:val="24"/>
          <w:szCs w:val="24"/>
        </w:rPr>
        <w:t xml:space="preserve">Відповідно до рішення уповноваженої особи </w:t>
      </w:r>
      <w:r w:rsidR="007526E2">
        <w:rPr>
          <w:sz w:val="24"/>
          <w:szCs w:val="24"/>
        </w:rPr>
        <w:t>Волинської митниці</w:t>
      </w:r>
      <w:r w:rsidRPr="00C1294A">
        <w:rPr>
          <w:sz w:val="24"/>
          <w:szCs w:val="24"/>
        </w:rPr>
        <w:t xml:space="preserve"> про внесення змін до тендерної документації на закупівлю</w:t>
      </w:r>
      <w:r w:rsidR="007526E2">
        <w:rPr>
          <w:sz w:val="24"/>
          <w:szCs w:val="24"/>
        </w:rPr>
        <w:t>: «</w:t>
      </w:r>
      <w:r w:rsidR="007526E2" w:rsidRPr="007526E2">
        <w:rPr>
          <w:sz w:val="24"/>
          <w:szCs w:val="24"/>
        </w:rPr>
        <w:t>ДК 021:2015 09110000-3 Тверде паливо (Вугілля)» (ідентифікатор закупівлі UA-2023-02-22-012538-a)</w:t>
      </w:r>
      <w:r w:rsidRPr="00C1294A">
        <w:rPr>
          <w:i/>
          <w:sz w:val="24"/>
          <w:szCs w:val="24"/>
        </w:rPr>
        <w:t xml:space="preserve"> </w:t>
      </w:r>
      <w:r w:rsidRPr="00C1294A">
        <w:rPr>
          <w:sz w:val="24"/>
          <w:szCs w:val="24"/>
        </w:rPr>
        <w:t xml:space="preserve">до тендерної документації </w:t>
      </w:r>
      <w:proofErr w:type="spellStart"/>
      <w:r w:rsidRPr="00C1294A">
        <w:rPr>
          <w:sz w:val="24"/>
          <w:szCs w:val="24"/>
        </w:rPr>
        <w:t>внесено</w:t>
      </w:r>
      <w:proofErr w:type="spellEnd"/>
      <w:r w:rsidRPr="00C1294A">
        <w:rPr>
          <w:sz w:val="24"/>
          <w:szCs w:val="24"/>
        </w:rPr>
        <w:t xml:space="preserve"> наступні зміни:</w:t>
      </w:r>
    </w:p>
    <w:p w14:paraId="192ECF59" w14:textId="77777777" w:rsidR="00C1294A" w:rsidRPr="00C1294A" w:rsidRDefault="00C1294A">
      <w:pPr>
        <w:rPr>
          <w:sz w:val="24"/>
          <w:szCs w:val="24"/>
        </w:rPr>
      </w:pPr>
    </w:p>
    <w:p w14:paraId="1EC30352" w14:textId="502E3EDF" w:rsidR="00933589" w:rsidRPr="00E97099" w:rsidRDefault="004C7A78">
      <w:pPr>
        <w:rPr>
          <w:b/>
          <w:bCs/>
          <w:u w:val="single"/>
        </w:rPr>
      </w:pPr>
      <w:r w:rsidRPr="00E97099">
        <w:rPr>
          <w:b/>
          <w:bCs/>
          <w:sz w:val="24"/>
          <w:szCs w:val="20"/>
          <w:u w:val="single"/>
        </w:rPr>
        <w:t>Перелік змін, що вноситься до тендерної документації 24.02.2023 р</w:t>
      </w:r>
      <w:r w:rsidRPr="00E97099">
        <w:rPr>
          <w:b/>
          <w:bCs/>
          <w:u w:val="single"/>
        </w:rPr>
        <w:t>.</w:t>
      </w:r>
    </w:p>
    <w:p w14:paraId="644ED315" w14:textId="77777777" w:rsidR="004C7A78" w:rsidRPr="007526E2" w:rsidRDefault="004C7A78">
      <w:pPr>
        <w:rPr>
          <w:sz w:val="24"/>
          <w:szCs w:val="20"/>
        </w:rPr>
      </w:pPr>
    </w:p>
    <w:p w14:paraId="5F5C0E1E" w14:textId="48F63967" w:rsidR="004C7A78" w:rsidRPr="007526E2" w:rsidRDefault="004C7A78" w:rsidP="004C7A78">
      <w:pPr>
        <w:jc w:val="both"/>
        <w:rPr>
          <w:sz w:val="24"/>
          <w:szCs w:val="20"/>
        </w:rPr>
      </w:pPr>
      <w:r w:rsidRPr="007526E2">
        <w:rPr>
          <w:sz w:val="24"/>
          <w:szCs w:val="20"/>
        </w:rPr>
        <w:t xml:space="preserve">1. </w:t>
      </w:r>
      <w:bookmarkStart w:id="0" w:name="_Hlk128139737"/>
      <w:r w:rsidRPr="007526E2">
        <w:rPr>
          <w:sz w:val="24"/>
          <w:szCs w:val="20"/>
        </w:rPr>
        <w:t>У розділі Інструкція з підготовки тендерної пропозиції п.1. Зміст і спосіб подання тендерної пропозиції викласти у наступній редакції:</w:t>
      </w:r>
    </w:p>
    <w:p w14:paraId="441DE33B" w14:textId="53FA4C29" w:rsidR="004C7A78" w:rsidRPr="00232F43" w:rsidRDefault="004C7A78" w:rsidP="004C7A78">
      <w:pPr>
        <w:spacing w:before="150" w:after="150"/>
        <w:jc w:val="both"/>
        <w:rPr>
          <w:rFonts w:eastAsia="Times New Roman"/>
          <w:sz w:val="24"/>
          <w:szCs w:val="24"/>
          <w:lang w:eastAsia="ru-RU"/>
        </w:rPr>
      </w:pPr>
      <w:r>
        <w:rPr>
          <w:rFonts w:eastAsia="Times New Roman"/>
          <w:sz w:val="24"/>
          <w:szCs w:val="24"/>
          <w:lang w:eastAsia="ru-RU"/>
        </w:rPr>
        <w:t>«</w:t>
      </w:r>
      <w:r w:rsidRPr="00232F43">
        <w:rPr>
          <w:rFonts w:eastAsia="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наявність / відсутність підстав, установлених у статті 17 цього Закону і в тендерній документації, та шляхом завантаження:</w:t>
      </w:r>
    </w:p>
    <w:p w14:paraId="49A32294" w14:textId="77777777" w:rsidR="004C7A78" w:rsidRDefault="004C7A78" w:rsidP="004C7A78">
      <w:pPr>
        <w:pStyle w:val="a3"/>
        <w:numPr>
          <w:ilvl w:val="0"/>
          <w:numId w:val="1"/>
        </w:numPr>
        <w:jc w:val="both"/>
        <w:rPr>
          <w:rFonts w:ascii="Times New Roman" w:eastAsia="Times New Roman" w:hAnsi="Times New Roman"/>
          <w:iCs/>
          <w:strike/>
          <w:sz w:val="24"/>
          <w:szCs w:val="24"/>
          <w:lang w:val="uk-UA" w:eastAsia="ru-RU"/>
        </w:rPr>
      </w:pPr>
      <w:r w:rsidRPr="00FC2AC6">
        <w:rPr>
          <w:rFonts w:ascii="Times New Roman" w:eastAsia="Times New Roman" w:hAnsi="Times New Roman"/>
          <w:iCs/>
          <w:strike/>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27260EF" w14:textId="77777777" w:rsidR="004C7A78" w:rsidRPr="00232F43" w:rsidRDefault="004C7A78" w:rsidP="004C7A7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у відповідності до вимог визначених у Додатку № 2 до тендерної документації;</w:t>
      </w:r>
    </w:p>
    <w:p w14:paraId="48FD6A25" w14:textId="77777777" w:rsidR="004C7A78" w:rsidRPr="00232F43" w:rsidRDefault="004C7A78" w:rsidP="004C7A7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CDDE58F" w14:textId="77777777" w:rsidR="004C7A78" w:rsidRPr="00232F43" w:rsidRDefault="004C7A78" w:rsidP="004C7A7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27BC69CE" w14:textId="77777777" w:rsidR="004C7A78" w:rsidRPr="00232F43" w:rsidRDefault="004C7A78" w:rsidP="004C7A7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p>
    <w:p w14:paraId="0233C8ED" w14:textId="77777777" w:rsidR="004C7A78" w:rsidRPr="00232F43" w:rsidRDefault="004C7A78" w:rsidP="004C7A78">
      <w:pPr>
        <w:jc w:val="both"/>
        <w:rPr>
          <w:rFonts w:eastAsia="Times New Roman"/>
          <w:b/>
          <w:bCs/>
          <w:i/>
          <w:iCs/>
          <w:sz w:val="24"/>
          <w:szCs w:val="24"/>
          <w:lang w:eastAsia="ru-RU"/>
        </w:rPr>
      </w:pPr>
      <w:r w:rsidRPr="00232F43">
        <w:rPr>
          <w:rFonts w:eastAsia="Times New Roman"/>
          <w:b/>
          <w:bCs/>
          <w:i/>
          <w:iCs/>
          <w:sz w:val="24"/>
          <w:szCs w:val="24"/>
          <w:lang w:eastAsia="ru-RU"/>
        </w:rPr>
        <w:t>Для юридичних осіб:</w:t>
      </w:r>
    </w:p>
    <w:p w14:paraId="17AFCB58"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4E18BEFE"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 xml:space="preserve">- виписка з протоколу засновників або копія протоколу засновників, </w:t>
      </w:r>
    </w:p>
    <w:p w14:paraId="266406D1"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 xml:space="preserve">- наказ про призначення, </w:t>
      </w:r>
    </w:p>
    <w:p w14:paraId="66665305"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 xml:space="preserve">- довіреність або доручення </w:t>
      </w:r>
    </w:p>
    <w:p w14:paraId="7E8BD183"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 інший документ, що підтверджує повноваження посадової особи учасника на підписання документів.</w:t>
      </w:r>
    </w:p>
    <w:p w14:paraId="54F1819B"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005EA41"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 xml:space="preserve">2. </w:t>
      </w:r>
      <w:proofErr w:type="spellStart"/>
      <w:r w:rsidRPr="00232F43">
        <w:rPr>
          <w:rFonts w:eastAsia="Times New Roman"/>
          <w:i/>
          <w:iCs/>
          <w:sz w:val="24"/>
          <w:szCs w:val="24"/>
          <w:lang w:eastAsia="ru-RU"/>
        </w:rPr>
        <w:t>Скан</w:t>
      </w:r>
      <w:proofErr w:type="spellEnd"/>
      <w:r w:rsidRPr="00232F43">
        <w:rPr>
          <w:rFonts w:eastAsia="Times New Roman"/>
          <w:i/>
          <w:iCs/>
          <w:sz w:val="24"/>
          <w:szCs w:val="24"/>
          <w:lang w:eastAsia="ru-RU"/>
        </w:rPr>
        <w:t xml:space="preserve">-копія Статуту із змінами (в разі їх наявності) або іншого установчого документу. </w:t>
      </w:r>
    </w:p>
    <w:p w14:paraId="0DF89C61"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593E3C6" w14:textId="77777777" w:rsidR="004C7A78" w:rsidRPr="00232F43" w:rsidRDefault="004C7A78" w:rsidP="004C7A78">
      <w:pPr>
        <w:jc w:val="both"/>
        <w:rPr>
          <w:rFonts w:eastAsia="Times New Roman"/>
          <w:i/>
          <w:iCs/>
          <w:sz w:val="24"/>
          <w:szCs w:val="24"/>
          <w:lang w:eastAsia="ru-RU"/>
        </w:rPr>
      </w:pPr>
      <w:bookmarkStart w:id="1" w:name="_Hlk112398922"/>
      <w:r w:rsidRPr="00232F43">
        <w:rPr>
          <w:rFonts w:eastAsia="Times New Roman"/>
          <w:i/>
          <w:iCs/>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r w:rsidRPr="00232F43">
        <w:rPr>
          <w:rFonts w:eastAsia="Times New Roman"/>
          <w:i/>
          <w:iCs/>
          <w:sz w:val="24"/>
          <w:szCs w:val="24"/>
          <w:lang w:eastAsia="ru-RU"/>
        </w:rPr>
        <w:lastRenderedPageBreak/>
        <w:t>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1"/>
    <w:p w14:paraId="6595CEB0"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3. Витяг* з Єдиного державного реєстру юридичних осіб фізичних осіб – підприємців та громадських формувань, (завірений учасником).</w:t>
      </w:r>
    </w:p>
    <w:p w14:paraId="3F2712C6" w14:textId="77777777" w:rsidR="004C7A78" w:rsidRPr="00232F43" w:rsidRDefault="004C7A78" w:rsidP="004C7A78">
      <w:pPr>
        <w:jc w:val="both"/>
        <w:rPr>
          <w:rFonts w:eastAsia="Times New Roman"/>
          <w:b/>
          <w:bCs/>
          <w:i/>
          <w:iCs/>
          <w:sz w:val="24"/>
          <w:szCs w:val="24"/>
          <w:lang w:eastAsia="ru-RU"/>
        </w:rPr>
      </w:pPr>
      <w:r w:rsidRPr="00232F43">
        <w:rPr>
          <w:rFonts w:eastAsia="Times New Roman"/>
          <w:b/>
          <w:bCs/>
          <w:i/>
          <w:iCs/>
          <w:sz w:val="24"/>
          <w:szCs w:val="24"/>
          <w:lang w:eastAsia="ru-RU"/>
        </w:rPr>
        <w:t>Для фізичних осіб-підприємців:</w:t>
      </w:r>
    </w:p>
    <w:p w14:paraId="590811CA"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1. Витяг* з Єдиного державного реєстру юридичних осіб фізичних осіб – підприємців та громадських формувань (завірений учасником).</w:t>
      </w:r>
    </w:p>
    <w:p w14:paraId="259F66C0" w14:textId="77777777" w:rsidR="004C7A78" w:rsidRPr="00232F43" w:rsidRDefault="004C7A78" w:rsidP="004C7A78">
      <w:pPr>
        <w:jc w:val="both"/>
        <w:rPr>
          <w:rFonts w:eastAsia="Times New Roman"/>
          <w:i/>
          <w:iCs/>
          <w:sz w:val="24"/>
          <w:szCs w:val="24"/>
          <w:lang w:eastAsia="ru-RU"/>
        </w:rPr>
      </w:pPr>
      <w:r w:rsidRPr="00232F43">
        <w:rPr>
          <w:rFonts w:eastAsia="Times New Roman"/>
          <w:i/>
          <w:iCs/>
          <w:sz w:val="24"/>
          <w:szCs w:val="24"/>
          <w:lang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F358A98" w14:textId="77777777" w:rsidR="004C7A78" w:rsidRPr="00232F43" w:rsidRDefault="004C7A78" w:rsidP="004C7A78">
      <w:pPr>
        <w:pStyle w:val="a3"/>
        <w:spacing w:after="0" w:line="240" w:lineRule="auto"/>
        <w:ind w:left="0"/>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7412E7EB" w14:textId="77777777" w:rsidR="004C7A78" w:rsidRPr="00232F43" w:rsidRDefault="004C7A78" w:rsidP="004C7A78">
      <w:pPr>
        <w:widowControl w:val="0"/>
        <w:shd w:val="clear" w:color="auto" w:fill="FFFFFF"/>
        <w:jc w:val="both"/>
        <w:rPr>
          <w:rFonts w:eastAsia="Arial"/>
          <w:i/>
          <w:color w:val="000000"/>
          <w:szCs w:val="24"/>
          <w:lang w:eastAsia="ru-RU"/>
        </w:rPr>
      </w:pPr>
      <w:r w:rsidRPr="00232F43">
        <w:rPr>
          <w:rFonts w:eastAsia="Times New Roman"/>
          <w:i/>
          <w:iCs/>
          <w:szCs w:val="24"/>
          <w:lang w:eastAsia="ru-RU"/>
        </w:rPr>
        <w:t xml:space="preserve">*- </w:t>
      </w:r>
      <w:r w:rsidRPr="00232F43">
        <w:rPr>
          <w:rFonts w:eastAsia="Arial"/>
          <w:i/>
          <w:iCs/>
          <w:color w:val="000000"/>
          <w:szCs w:val="24"/>
          <w:shd w:val="solid" w:color="FFFFFF" w:fill="FFFFFF"/>
        </w:rPr>
        <w:t>На момент оприлюднення оголошення про проведення відкритих торгів доступ до вищезазначеного реєстру є обмеженим.</w:t>
      </w:r>
    </w:p>
    <w:p w14:paraId="14582892" w14:textId="77777777" w:rsidR="004C7A78" w:rsidRPr="00232F43" w:rsidRDefault="004C7A78" w:rsidP="004C7A7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заповнену форму «Тендерна пропозиція», оформлену згідно Додатку 6 тендерної документації; </w:t>
      </w:r>
    </w:p>
    <w:p w14:paraId="151928CE" w14:textId="77777777" w:rsidR="004C7A78" w:rsidRPr="00232F43" w:rsidRDefault="004C7A78" w:rsidP="004C7A78">
      <w:pPr>
        <w:pStyle w:val="a3"/>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Ціна тендерної пропозиції учасника – це загальна вартість </w:t>
      </w:r>
      <w:r>
        <w:rPr>
          <w:rFonts w:ascii="Times New Roman" w:eastAsia="Times New Roman" w:hAnsi="Times New Roman"/>
          <w:sz w:val="24"/>
          <w:szCs w:val="24"/>
          <w:lang w:val="uk-UA" w:eastAsia="ru-RU"/>
        </w:rPr>
        <w:t>товару</w:t>
      </w:r>
      <w:r w:rsidRPr="00232F43">
        <w:rPr>
          <w:rFonts w:ascii="Times New Roman" w:eastAsia="Times New Roman" w:hAnsi="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Pr>
          <w:rFonts w:ascii="Times New Roman" w:eastAsia="Times New Roman" w:hAnsi="Times New Roman"/>
          <w:sz w:val="24"/>
          <w:szCs w:val="24"/>
          <w:lang w:val="uk-UA" w:eastAsia="ru-RU"/>
        </w:rPr>
        <w:t>здійснити поставку товару</w:t>
      </w:r>
      <w:r w:rsidRPr="00232F43">
        <w:rPr>
          <w:rFonts w:ascii="Times New Roman" w:eastAsia="Times New Roman" w:hAnsi="Times New Roman"/>
          <w:sz w:val="24"/>
          <w:szCs w:val="24"/>
          <w:lang w:val="uk-UA" w:eastAsia="ru-RU"/>
        </w:rPr>
        <w:t xml:space="preserve"> замовнику.</w:t>
      </w:r>
    </w:p>
    <w:p w14:paraId="013F306B" w14:textId="77777777" w:rsidR="004C7A78" w:rsidRPr="00232F43" w:rsidRDefault="004C7A78" w:rsidP="004C7A78">
      <w:pPr>
        <w:pStyle w:val="a3"/>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313A95" w14:textId="77777777" w:rsidR="004C7A78" w:rsidRPr="00232F43" w:rsidRDefault="004C7A78" w:rsidP="004C7A78">
      <w:pPr>
        <w:pStyle w:val="a3"/>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2BA14B6F" w14:textId="77777777" w:rsidR="004C7A78" w:rsidRPr="00232F43" w:rsidRDefault="004C7A78" w:rsidP="004C7A78">
      <w:pPr>
        <w:pStyle w:val="a3"/>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відповідає за одержання всіх необхідних дозволів, ліцензій, сертифікатів на </w:t>
      </w:r>
      <w:r>
        <w:rPr>
          <w:rFonts w:ascii="Times New Roman" w:eastAsia="Times New Roman" w:hAnsi="Times New Roman"/>
          <w:sz w:val="24"/>
          <w:szCs w:val="24"/>
          <w:lang w:val="uk-UA" w:eastAsia="ru-RU"/>
        </w:rPr>
        <w:t>товари</w:t>
      </w:r>
      <w:r w:rsidRPr="00232F43">
        <w:rPr>
          <w:rFonts w:ascii="Times New Roman" w:eastAsia="Times New Roman" w:hAnsi="Times New Roman"/>
          <w:sz w:val="24"/>
          <w:szCs w:val="24"/>
          <w:lang w:val="uk-UA" w:eastAsia="ru-RU"/>
        </w:rPr>
        <w:t>, запропоновані на торги, та самостійно несе всі витрати на їх отримання.</w:t>
      </w:r>
    </w:p>
    <w:p w14:paraId="65D7B684" w14:textId="77777777" w:rsidR="004C7A78" w:rsidRPr="00232F43" w:rsidRDefault="004C7A78" w:rsidP="004C7A78">
      <w:pPr>
        <w:pStyle w:val="a3"/>
        <w:numPr>
          <w:ilvl w:val="0"/>
          <w:numId w:val="1"/>
        </w:numPr>
        <w:spacing w:after="0" w:line="240" w:lineRule="auto"/>
        <w:ind w:left="714" w:hanging="357"/>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проект договору про закупівлю, заповнений зі сторони Учасника (Додаток 4);</w:t>
      </w:r>
    </w:p>
    <w:p w14:paraId="1F81D3F3" w14:textId="77777777" w:rsidR="004C7A78" w:rsidRPr="00232F43" w:rsidRDefault="004C7A78" w:rsidP="004C7A78">
      <w:pPr>
        <w:pStyle w:val="a3"/>
        <w:numPr>
          <w:ilvl w:val="0"/>
          <w:numId w:val="1"/>
        </w:numPr>
        <w:spacing w:after="0" w:line="240" w:lineRule="auto"/>
        <w:ind w:left="714" w:hanging="357"/>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 (Додаток 5).</w:t>
      </w:r>
    </w:p>
    <w:p w14:paraId="52ACDDA1" w14:textId="77777777" w:rsidR="004C7A78" w:rsidRPr="00232F43" w:rsidRDefault="004C7A78" w:rsidP="004C7A78">
      <w:pPr>
        <w:jc w:val="both"/>
        <w:rPr>
          <w:rFonts w:eastAsia="Times New Roman"/>
          <w:sz w:val="24"/>
          <w:szCs w:val="24"/>
          <w:lang w:eastAsia="ru-RU"/>
        </w:rPr>
      </w:pPr>
      <w:r w:rsidRPr="00232F43">
        <w:rPr>
          <w:rFonts w:eastAsia="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CBF46D9" w14:textId="77777777" w:rsidR="004C7A78" w:rsidRPr="00232F43" w:rsidRDefault="004C7A78" w:rsidP="004C7A78">
      <w:pPr>
        <w:jc w:val="both"/>
        <w:rPr>
          <w:rFonts w:eastAsia="Times New Roman"/>
          <w:sz w:val="24"/>
          <w:szCs w:val="24"/>
          <w:lang w:eastAsia="ru-RU"/>
        </w:rPr>
      </w:pPr>
      <w:r w:rsidRPr="00232F43">
        <w:rPr>
          <w:rFonts w:eastAsia="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0DD91C"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B4EDEB0"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C1E5C5"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8989CB1"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1C0223E"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У разі подання у складі тендерної пропозиції електронного(</w:t>
      </w:r>
      <w:proofErr w:type="spellStart"/>
      <w:r w:rsidRPr="00232F43">
        <w:rPr>
          <w:rFonts w:eastAsia="Times New Roman"/>
          <w:sz w:val="24"/>
          <w:szCs w:val="24"/>
          <w:lang w:eastAsia="ru-RU"/>
        </w:rPr>
        <w:t>их</w:t>
      </w:r>
      <w:proofErr w:type="spellEnd"/>
      <w:r w:rsidRPr="00232F43">
        <w:rPr>
          <w:rFonts w:eastAsia="Times New Roman"/>
          <w:sz w:val="24"/>
          <w:szCs w:val="24"/>
          <w:lang w:eastAsia="ru-RU"/>
        </w:rPr>
        <w:t>) документа(</w:t>
      </w:r>
      <w:proofErr w:type="spellStart"/>
      <w:r w:rsidRPr="00232F43">
        <w:rPr>
          <w:rFonts w:eastAsia="Times New Roman"/>
          <w:sz w:val="24"/>
          <w:szCs w:val="24"/>
          <w:lang w:eastAsia="ru-RU"/>
        </w:rPr>
        <w:t>ів</w:t>
      </w:r>
      <w:proofErr w:type="spellEnd"/>
      <w:r w:rsidRPr="00232F43">
        <w:rPr>
          <w:rFonts w:eastAsia="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2EE8C9A"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494AEE3"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Перелік</w:t>
      </w:r>
      <w:r w:rsidRPr="00232F43">
        <w:t xml:space="preserve"> </w:t>
      </w:r>
      <w:r w:rsidRPr="00232F43">
        <w:rPr>
          <w:rFonts w:eastAsia="Times New Roman"/>
          <w:sz w:val="24"/>
          <w:szCs w:val="24"/>
          <w:lang w:eastAsia="ru-RU"/>
        </w:rPr>
        <w:t>формальних помилок, затверджений наказом Мінекономіки від 15.04.2020 № 710:</w:t>
      </w:r>
    </w:p>
    <w:p w14:paraId="27060420"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2CD8F8F2" w14:textId="77777777" w:rsidR="004C7A78" w:rsidRPr="00232F43" w:rsidRDefault="004C7A78" w:rsidP="004C7A7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уживання великої літери; </w:t>
      </w:r>
    </w:p>
    <w:p w14:paraId="1AD33408" w14:textId="77777777" w:rsidR="004C7A78" w:rsidRPr="00232F43" w:rsidRDefault="004C7A78" w:rsidP="004C7A7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37FE1C3" w14:textId="77777777" w:rsidR="004C7A78" w:rsidRPr="00232F43" w:rsidRDefault="004C7A78" w:rsidP="004C7A7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використання слова або </w:t>
      </w:r>
      <w:proofErr w:type="spellStart"/>
      <w:r w:rsidRPr="00232F43">
        <w:rPr>
          <w:rFonts w:ascii="Times New Roman" w:eastAsia="Times New Roman" w:hAnsi="Times New Roman"/>
          <w:sz w:val="24"/>
          <w:szCs w:val="24"/>
          <w:lang w:val="uk-UA" w:eastAsia="ru-RU"/>
        </w:rPr>
        <w:t>мовного</w:t>
      </w:r>
      <w:proofErr w:type="spellEnd"/>
      <w:r w:rsidRPr="00232F43">
        <w:rPr>
          <w:rFonts w:ascii="Times New Roman" w:eastAsia="Times New Roman" w:hAnsi="Times New Roman"/>
          <w:sz w:val="24"/>
          <w:szCs w:val="24"/>
          <w:lang w:val="uk-UA" w:eastAsia="ru-RU"/>
        </w:rPr>
        <w:t xml:space="preserve"> звороту, запозичених з іншої мови; </w:t>
      </w:r>
    </w:p>
    <w:p w14:paraId="4C04BAEC" w14:textId="77777777" w:rsidR="004C7A78" w:rsidRPr="00232F43" w:rsidRDefault="004C7A78" w:rsidP="004C7A7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C83DBB4" w14:textId="77777777" w:rsidR="004C7A78" w:rsidRPr="00232F43" w:rsidRDefault="004C7A78" w:rsidP="004C7A7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9907EC8" w14:textId="77777777" w:rsidR="004C7A78" w:rsidRPr="00232F43" w:rsidRDefault="004C7A78" w:rsidP="004C7A7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написання слів разом та/або окремо, та/або через дефіс; </w:t>
      </w:r>
    </w:p>
    <w:p w14:paraId="575C71D5" w14:textId="77777777" w:rsidR="004C7A78" w:rsidRPr="00232F43" w:rsidRDefault="004C7A78" w:rsidP="004C7A7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087D48B"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5F19C02"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0FAC574"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F75CCFC"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5458ADB"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7ECCCF3"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27F5480"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9D9A49E"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D8D0D60"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746FCC1"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95B72FF"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577648" w14:textId="77777777" w:rsidR="004C7A78" w:rsidRPr="00232F43" w:rsidRDefault="004C7A78" w:rsidP="004C7A78">
      <w:pPr>
        <w:spacing w:before="150" w:after="150"/>
        <w:jc w:val="both"/>
        <w:rPr>
          <w:rFonts w:eastAsia="Times New Roman"/>
          <w:sz w:val="24"/>
          <w:szCs w:val="24"/>
          <w:lang w:eastAsia="ru-RU"/>
        </w:rPr>
      </w:pPr>
      <w:r w:rsidRPr="00232F43">
        <w:rPr>
          <w:rFonts w:eastAsia="Times New Roman"/>
          <w:sz w:val="24"/>
          <w:szCs w:val="24"/>
          <w:lang w:eastAsia="ru-RU"/>
        </w:rPr>
        <w:t>Приклади формальних помилок:</w:t>
      </w:r>
    </w:p>
    <w:p w14:paraId="1A61733D" w14:textId="77777777" w:rsidR="004C7A78" w:rsidRPr="00232F43" w:rsidRDefault="004C7A78" w:rsidP="004C7A7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32F43">
        <w:rPr>
          <w:rFonts w:ascii="Times New Roman" w:eastAsia="Times New Roman" w:hAnsi="Times New Roman"/>
          <w:sz w:val="24"/>
          <w:szCs w:val="24"/>
          <w:lang w:val="uk-UA" w:eastAsia="ru-RU"/>
        </w:rPr>
        <w:t>львів</w:t>
      </w:r>
      <w:proofErr w:type="spellEnd"/>
      <w:r w:rsidRPr="00232F43">
        <w:rPr>
          <w:rFonts w:ascii="Times New Roman" w:eastAsia="Times New Roman" w:hAnsi="Times New Roman"/>
          <w:sz w:val="24"/>
          <w:szCs w:val="24"/>
          <w:lang w:val="uk-UA" w:eastAsia="ru-RU"/>
        </w:rPr>
        <w:t xml:space="preserve">» замість «місто Львів»; </w:t>
      </w:r>
    </w:p>
    <w:p w14:paraId="278E9ECA" w14:textId="77777777" w:rsidR="004C7A78" w:rsidRPr="00232F43" w:rsidRDefault="004C7A78" w:rsidP="004C7A7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56E64A1" w14:textId="77777777" w:rsidR="004C7A78" w:rsidRPr="00232F43" w:rsidRDefault="004C7A78" w:rsidP="004C7A7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71745A3" w14:textId="77777777" w:rsidR="004C7A78" w:rsidRPr="00232F43" w:rsidRDefault="004C7A78" w:rsidP="004C7A7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w:t>
      </w:r>
      <w:proofErr w:type="spellStart"/>
      <w:r w:rsidRPr="00232F43">
        <w:rPr>
          <w:rFonts w:ascii="Times New Roman" w:eastAsia="Times New Roman" w:hAnsi="Times New Roman"/>
          <w:sz w:val="24"/>
          <w:szCs w:val="24"/>
          <w:lang w:val="uk-UA" w:eastAsia="ru-RU"/>
        </w:rPr>
        <w:t>тендернапропозиція</w:t>
      </w:r>
      <w:proofErr w:type="spellEnd"/>
      <w:r w:rsidRPr="00232F43">
        <w:rPr>
          <w:rFonts w:ascii="Times New Roman" w:eastAsia="Times New Roman" w:hAnsi="Times New Roman"/>
          <w:sz w:val="24"/>
          <w:szCs w:val="24"/>
          <w:lang w:val="uk-UA" w:eastAsia="ru-RU"/>
        </w:rPr>
        <w:t>» замість «тендерна пропозиція»;</w:t>
      </w:r>
    </w:p>
    <w:p w14:paraId="72D74D30" w14:textId="77777777" w:rsidR="004C7A78" w:rsidRPr="00232F43" w:rsidRDefault="004C7A78" w:rsidP="004C7A7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w:t>
      </w:r>
      <w:proofErr w:type="spellStart"/>
      <w:r w:rsidRPr="00232F43">
        <w:rPr>
          <w:rFonts w:ascii="Times New Roman" w:eastAsia="Times New Roman" w:hAnsi="Times New Roman"/>
          <w:sz w:val="24"/>
          <w:szCs w:val="24"/>
          <w:lang w:val="uk-UA" w:eastAsia="ru-RU"/>
        </w:rPr>
        <w:t>срток</w:t>
      </w:r>
      <w:proofErr w:type="spellEnd"/>
      <w:r w:rsidRPr="00232F43">
        <w:rPr>
          <w:rFonts w:ascii="Times New Roman" w:eastAsia="Times New Roman" w:hAnsi="Times New Roman"/>
          <w:sz w:val="24"/>
          <w:szCs w:val="24"/>
          <w:lang w:val="uk-UA" w:eastAsia="ru-RU"/>
        </w:rPr>
        <w:t xml:space="preserve"> поставки» замість «строк поставки»;</w:t>
      </w:r>
    </w:p>
    <w:p w14:paraId="48B91583" w14:textId="77777777" w:rsidR="004C7A78" w:rsidRPr="00232F43" w:rsidRDefault="004C7A78" w:rsidP="004C7A7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F7B0BCB" w14:textId="2DC5725D" w:rsidR="004C7A78" w:rsidRPr="00232F43" w:rsidRDefault="004C7A78" w:rsidP="004C7A7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r w:rsidR="007526E2">
        <w:rPr>
          <w:rFonts w:ascii="Times New Roman" w:eastAsia="Times New Roman" w:hAnsi="Times New Roman"/>
          <w:sz w:val="24"/>
          <w:szCs w:val="24"/>
          <w:lang w:val="uk-UA" w:eastAsia="ru-RU"/>
        </w:rPr>
        <w:t>»</w:t>
      </w:r>
    </w:p>
    <w:p w14:paraId="53863D52" w14:textId="255D56FA" w:rsidR="004C7A78" w:rsidRDefault="004C7A78" w:rsidP="004C7A78">
      <w:pPr>
        <w:jc w:val="both"/>
      </w:pPr>
      <w:r>
        <w:t>2. Додаток 1 до тендерної документації «Кваліфікаційні критерії» видалити.</w:t>
      </w:r>
      <w:bookmarkEnd w:id="0"/>
    </w:p>
    <w:sectPr w:rsidR="004C7A78" w:rsidSect="009F5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6575038">
    <w:abstractNumId w:val="1"/>
  </w:num>
  <w:num w:numId="2" w16cid:durableId="2008097596">
    <w:abstractNumId w:val="2"/>
  </w:num>
  <w:num w:numId="3" w16cid:durableId="166450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5D"/>
    <w:rsid w:val="004C7A78"/>
    <w:rsid w:val="0062085D"/>
    <w:rsid w:val="007526E2"/>
    <w:rsid w:val="00933589"/>
    <w:rsid w:val="009F5300"/>
    <w:rsid w:val="00C1294A"/>
    <w:rsid w:val="00E97099"/>
    <w:rsid w:val="00EB6B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94D7"/>
  <w15:chartTrackingRefBased/>
  <w15:docId w15:val="{E05A3348-091A-4A32-B6E0-640C2E4B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7A78"/>
    <w:pPr>
      <w:spacing w:after="160" w:line="259" w:lineRule="auto"/>
      <w:ind w:left="720" w:firstLine="0"/>
      <w:contextualSpacing/>
    </w:pPr>
    <w:rPr>
      <w:rFonts w:ascii="Calibri" w:eastAsia="Calibri" w:hAnsi="Calibri" w:cs="Times New Roman"/>
      <w:sz w:val="22"/>
      <w:lang w:val="ru-RU"/>
    </w:rPr>
  </w:style>
  <w:style w:type="character" w:customStyle="1" w:styleId="a4">
    <w:name w:val="Абзац списка Знак"/>
    <w:link w:val="a3"/>
    <w:uiPriority w:val="34"/>
    <w:locked/>
    <w:rsid w:val="004C7A78"/>
    <w:rPr>
      <w:rFonts w:ascii="Calibri" w:eastAsia="Calibri" w:hAnsi="Calibri" w:cs="Times New Roman"/>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7952</Words>
  <Characters>4533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2023-02-24T11:11:00Z</dcterms:created>
  <dcterms:modified xsi:type="dcterms:W3CDTF">2023-02-24T12:16:00Z</dcterms:modified>
</cp:coreProperties>
</file>