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9E48FD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6849E0">
        <w:rPr>
          <w:rFonts w:ascii="Times New Roman" w:hAnsi="Times New Roman"/>
          <w:b/>
          <w:sz w:val="24"/>
          <w:szCs w:val="24"/>
          <w:lang w:val="uk-UA" w:eastAsia="uk-UA"/>
        </w:rPr>
        <w:t>06</w:t>
      </w:r>
      <w:r w:rsidRPr="00D00040">
        <w:rPr>
          <w:rFonts w:ascii="Times New Roman" w:hAnsi="Times New Roman"/>
          <w:b/>
          <w:sz w:val="24"/>
          <w:szCs w:val="24"/>
          <w:lang w:eastAsia="uk-UA"/>
        </w:rPr>
        <w:t xml:space="preserve"> </w:t>
      </w:r>
      <w:r w:rsidR="003A7CC7">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540F033E" w:rsidR="009F6B37" w:rsidRPr="00AE74ED" w:rsidRDefault="00AE74ED"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Сирні продукти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6849E0"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3A7CC7">
              <w:rPr>
                <w:rFonts w:ascii="Times New Roman" w:hAnsi="Times New Roman"/>
                <w:b/>
                <w:sz w:val="24"/>
                <w:szCs w:val="24"/>
                <w:lang w:val="en-US"/>
              </w:rPr>
              <w:t>-</w:t>
            </w:r>
            <w:r w:rsidRPr="00132845">
              <w:rPr>
                <w:rFonts w:ascii="Times New Roman" w:hAnsi="Times New Roman"/>
                <w:b/>
                <w:sz w:val="24"/>
                <w:szCs w:val="24"/>
                <w:lang w:val="en-US"/>
              </w:rPr>
              <w:t>mail</w:t>
            </w:r>
            <w:r w:rsidRPr="003A7CC7">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3A7CC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3A7CC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6C5DF4"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660D0990" w:rsidR="005745E4" w:rsidRPr="00AE74ED" w:rsidRDefault="00AE74ED" w:rsidP="005745E4">
            <w:pPr>
              <w:pStyle w:val="1"/>
              <w:spacing w:before="0" w:line="240" w:lineRule="auto"/>
              <w:rPr>
                <w:rFonts w:ascii="Times New Roman" w:hAnsi="Times New Roman"/>
                <w:b/>
                <w:color w:val="auto"/>
                <w:sz w:val="24"/>
                <w:szCs w:val="24"/>
                <w:lang w:val="uk-UA" w:eastAsia="ru-RU"/>
              </w:rPr>
            </w:pPr>
            <w:r w:rsidRPr="00AE74ED">
              <w:rPr>
                <w:rFonts w:ascii="Times New Roman" w:hAnsi="Times New Roman"/>
                <w:b/>
                <w:color w:val="auto"/>
                <w:sz w:val="24"/>
                <w:szCs w:val="24"/>
                <w:lang w:val="uk-UA"/>
              </w:rPr>
              <w:t>Сирні продукти</w:t>
            </w:r>
          </w:p>
          <w:p w14:paraId="498B0B88" w14:textId="3A7A2D2B" w:rsidR="009A6183" w:rsidRPr="006C5DF4" w:rsidRDefault="009F6B37" w:rsidP="006C5DF4">
            <w:pPr>
              <w:spacing w:after="0" w:line="240" w:lineRule="auto"/>
              <w:jc w:val="both"/>
              <w:rPr>
                <w:rFonts w:ascii="Times New Roman" w:hAnsi="Times New Roman"/>
                <w:sz w:val="24"/>
                <w:szCs w:val="24"/>
                <w:lang w:val="uk-UA"/>
              </w:rPr>
            </w:pPr>
            <w:r w:rsidRPr="00AE74ED">
              <w:rPr>
                <w:rFonts w:ascii="Times New Roman" w:hAnsi="Times New Roman"/>
                <w:sz w:val="24"/>
                <w:szCs w:val="24"/>
                <w:lang w:val="uk-UA"/>
              </w:rPr>
              <w:t>Код ДК 021:2015:</w:t>
            </w:r>
            <w:r w:rsidRPr="00AE74ED">
              <w:rPr>
                <w:rFonts w:ascii="Times New Roman" w:hAnsi="Times New Roman"/>
                <w:b/>
                <w:sz w:val="24"/>
                <w:szCs w:val="24"/>
                <w:lang w:val="uk-UA"/>
              </w:rPr>
              <w:t xml:space="preserve"> </w:t>
            </w:r>
            <w:r w:rsidR="00AE74ED" w:rsidRPr="00AE74ED">
              <w:rPr>
                <w:rFonts w:ascii="Times New Roman" w:hAnsi="Times New Roman"/>
                <w:sz w:val="24"/>
                <w:szCs w:val="24"/>
              </w:rPr>
              <w:t>15540000-5 - Сирні продукти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795D7ED8"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E74ED">
              <w:rPr>
                <w:rFonts w:ascii="Times New Roman" w:eastAsia="Times New Roman" w:hAnsi="Times New Roman"/>
                <w:b/>
                <w:sz w:val="24"/>
                <w:szCs w:val="24"/>
                <w:lang w:val="uk-UA" w:eastAsia="ru-RU"/>
              </w:rPr>
              <w:t>2</w:t>
            </w:r>
            <w:r w:rsidR="006C5DF4">
              <w:rPr>
                <w:rFonts w:ascii="Times New Roman" w:eastAsia="Times New Roman" w:hAnsi="Times New Roman"/>
                <w:b/>
                <w:sz w:val="24"/>
                <w:szCs w:val="24"/>
                <w:lang w:val="uk-UA" w:eastAsia="ru-RU"/>
              </w:rPr>
              <w:t xml:space="preserve"> од.</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849E0"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849E0"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6849E0"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6849E0"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849E0"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EB08952" w:rsidR="0082608A" w:rsidRPr="001165DC" w:rsidRDefault="006849E0"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14</w:t>
            </w:r>
            <w:r w:rsidR="001165DC" w:rsidRPr="001165DC">
              <w:rPr>
                <w:rFonts w:ascii="Times New Roman" w:eastAsia="Times New Roman" w:hAnsi="Times New Roman"/>
                <w:b/>
                <w:sz w:val="24"/>
                <w:szCs w:val="24"/>
                <w:lang w:val="uk-UA" w:eastAsia="ru-RU"/>
              </w:rPr>
              <w:t xml:space="preserve"> </w:t>
            </w:r>
            <w:r w:rsidR="00DF4E1B">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849E0"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6849E0"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6849E0"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4E882C53" w14:textId="77777777" w:rsidR="000A529E" w:rsidRDefault="000A529E" w:rsidP="001165DC">
      <w:pPr>
        <w:rPr>
          <w:rFonts w:ascii="Times New Roman" w:hAnsi="Times New Roman"/>
          <w:b/>
          <w:bCs/>
          <w:sz w:val="24"/>
          <w:szCs w:val="24"/>
          <w:lang w:val="uk-UA"/>
        </w:rPr>
      </w:pPr>
    </w:p>
    <w:p w14:paraId="480BE88E" w14:textId="77777777" w:rsidR="00110613" w:rsidRDefault="00110613" w:rsidP="001165DC">
      <w:pPr>
        <w:rPr>
          <w:rFonts w:ascii="Times New Roman" w:hAnsi="Times New Roman"/>
          <w:b/>
          <w:bCs/>
          <w:sz w:val="24"/>
          <w:szCs w:val="24"/>
          <w:lang w:val="uk-UA"/>
        </w:rPr>
      </w:pPr>
    </w:p>
    <w:p w14:paraId="0BE57D5C" w14:textId="77777777" w:rsidR="00110613" w:rsidRDefault="001106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bookmarkStart w:id="1" w:name="_GoBack"/>
      <w:bookmarkEnd w:id="1"/>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6849E0"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849E0"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6849E0"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6849E0"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849E0"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6849E0"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DF4E1B">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AE74ED" w:rsidRPr="00ED7D54" w14:paraId="29031038" w14:textId="77777777" w:rsidTr="00DF4E1B">
        <w:tblPrEx>
          <w:tblLook w:val="0000" w:firstRow="0" w:lastRow="0" w:firstColumn="0" w:lastColumn="0" w:noHBand="0" w:noVBand="0"/>
        </w:tblPrEx>
        <w:trPr>
          <w:trHeight w:val="280"/>
        </w:trPr>
        <w:tc>
          <w:tcPr>
            <w:tcW w:w="564" w:type="dxa"/>
          </w:tcPr>
          <w:p w14:paraId="63F8C58A" w14:textId="703A6A86" w:rsidR="00AE74ED" w:rsidRPr="00E4308F" w:rsidRDefault="00AE74ED" w:rsidP="00AE74ED">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1C61AD56"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 xml:space="preserve">Сир </w:t>
            </w:r>
            <w:proofErr w:type="gramStart"/>
            <w:r>
              <w:rPr>
                <w:rFonts w:ascii="Times New Roman" w:hAnsi="Times New Roman"/>
                <w:b/>
                <w:sz w:val="24"/>
                <w:szCs w:val="24"/>
              </w:rPr>
              <w:t xml:space="preserve">кисломолочний  </w:t>
            </w:r>
            <w:r>
              <w:rPr>
                <w:rFonts w:ascii="Times New Roman" w:hAnsi="Times New Roman"/>
                <w:b/>
                <w:sz w:val="24"/>
                <w:szCs w:val="24"/>
                <w:lang w:val="uk-UA"/>
              </w:rPr>
              <w:t>12</w:t>
            </w:r>
            <w:proofErr w:type="gramEnd"/>
            <w:r w:rsidRPr="00AE74ED">
              <w:rPr>
                <w:rFonts w:ascii="Times New Roman" w:hAnsi="Times New Roman"/>
                <w:b/>
                <w:sz w:val="24"/>
                <w:szCs w:val="24"/>
              </w:rPr>
              <w:t>%</w:t>
            </w:r>
            <w:r>
              <w:rPr>
                <w:rFonts w:ascii="Times New Roman" w:hAnsi="Times New Roman"/>
                <w:b/>
                <w:sz w:val="24"/>
                <w:szCs w:val="24"/>
                <w:lang w:val="uk-UA"/>
              </w:rPr>
              <w:t xml:space="preserve"> жирності, фасований по 3кг.</w:t>
            </w:r>
          </w:p>
        </w:tc>
        <w:tc>
          <w:tcPr>
            <w:tcW w:w="1159" w:type="dxa"/>
          </w:tcPr>
          <w:p w14:paraId="2BBAEDD0" w14:textId="0DB42C85"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кг</w:t>
            </w:r>
          </w:p>
        </w:tc>
        <w:tc>
          <w:tcPr>
            <w:tcW w:w="1179" w:type="dxa"/>
          </w:tcPr>
          <w:p w14:paraId="3D420693" w14:textId="67B353DE"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2885</w:t>
            </w:r>
          </w:p>
        </w:tc>
      </w:tr>
      <w:tr w:rsidR="00AE74ED" w:rsidRPr="00ED7D54" w14:paraId="4FA1BD83" w14:textId="77777777" w:rsidTr="00DF4E1B">
        <w:tblPrEx>
          <w:tblLook w:val="0000" w:firstRow="0" w:lastRow="0" w:firstColumn="0" w:lastColumn="0" w:noHBand="0" w:noVBand="0"/>
        </w:tblPrEx>
        <w:trPr>
          <w:trHeight w:val="280"/>
        </w:trPr>
        <w:tc>
          <w:tcPr>
            <w:tcW w:w="564" w:type="dxa"/>
          </w:tcPr>
          <w:p w14:paraId="57C889EB" w14:textId="03CD1567" w:rsidR="00AE74ED" w:rsidRDefault="00AE74ED" w:rsidP="00AE74ED">
            <w:pPr>
              <w:spacing w:after="0" w:line="240" w:lineRule="auto"/>
              <w:ind w:left="108"/>
              <w:rPr>
                <w:rFonts w:ascii="Times New Roman" w:hAnsi="Times New Roman"/>
                <w:sz w:val="24"/>
                <w:szCs w:val="24"/>
                <w:lang w:val="uk-UA"/>
              </w:rPr>
            </w:pPr>
            <w:r>
              <w:rPr>
                <w:rFonts w:ascii="Times New Roman" w:hAnsi="Times New Roman"/>
                <w:sz w:val="24"/>
                <w:szCs w:val="24"/>
                <w:lang w:val="uk-UA"/>
              </w:rPr>
              <w:t>2</w:t>
            </w:r>
          </w:p>
        </w:tc>
        <w:tc>
          <w:tcPr>
            <w:tcW w:w="7706" w:type="dxa"/>
          </w:tcPr>
          <w:p w14:paraId="435FDD2E" w14:textId="37FB7FF5"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Сир твердий Голандський 45 %</w:t>
            </w:r>
          </w:p>
        </w:tc>
        <w:tc>
          <w:tcPr>
            <w:tcW w:w="1159" w:type="dxa"/>
          </w:tcPr>
          <w:p w14:paraId="4FB4FB43" w14:textId="2129EFAC"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кг</w:t>
            </w:r>
          </w:p>
        </w:tc>
        <w:tc>
          <w:tcPr>
            <w:tcW w:w="1179" w:type="dxa"/>
          </w:tcPr>
          <w:p w14:paraId="6D18131A" w14:textId="7F1C840D"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1150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4D2C" w14:textId="77777777" w:rsidR="007E1F34" w:rsidRDefault="007E1F34">
      <w:pPr>
        <w:spacing w:after="0" w:line="240" w:lineRule="auto"/>
      </w:pPr>
      <w:r>
        <w:separator/>
      </w:r>
    </w:p>
  </w:endnote>
  <w:endnote w:type="continuationSeparator" w:id="0">
    <w:p w14:paraId="3EC15096" w14:textId="77777777" w:rsidR="007E1F34" w:rsidRDefault="007E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6C5DF4" w:rsidRDefault="006C5DF4"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849E0">
      <w:rPr>
        <w:rStyle w:val="af5"/>
        <w:noProof/>
      </w:rPr>
      <w:t>31</w:t>
    </w:r>
    <w:r>
      <w:rPr>
        <w:rStyle w:val="af5"/>
      </w:rPr>
      <w:fldChar w:fldCharType="end"/>
    </w:r>
  </w:p>
  <w:p w14:paraId="4561FF0D" w14:textId="77777777" w:rsidR="006C5DF4" w:rsidRDefault="006C5DF4"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AFB5" w14:textId="77777777" w:rsidR="007E1F34" w:rsidRDefault="007E1F34">
      <w:pPr>
        <w:spacing w:after="0" w:line="240" w:lineRule="auto"/>
      </w:pPr>
      <w:r>
        <w:separator/>
      </w:r>
    </w:p>
  </w:footnote>
  <w:footnote w:type="continuationSeparator" w:id="0">
    <w:p w14:paraId="02BAA7A6" w14:textId="77777777" w:rsidR="007E1F34" w:rsidRDefault="007E1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29E"/>
    <w:rsid w:val="000A5534"/>
    <w:rsid w:val="000A74B5"/>
    <w:rsid w:val="000B4778"/>
    <w:rsid w:val="000E0D25"/>
    <w:rsid w:val="00105394"/>
    <w:rsid w:val="00110613"/>
    <w:rsid w:val="001151D2"/>
    <w:rsid w:val="001165DC"/>
    <w:rsid w:val="00121488"/>
    <w:rsid w:val="00127A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A7CC7"/>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49E0"/>
    <w:rsid w:val="006863B7"/>
    <w:rsid w:val="00690483"/>
    <w:rsid w:val="006930DF"/>
    <w:rsid w:val="006B6135"/>
    <w:rsid w:val="006C5DF4"/>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E1F34"/>
    <w:rsid w:val="007F1012"/>
    <w:rsid w:val="00812E53"/>
    <w:rsid w:val="00825657"/>
    <w:rsid w:val="0082608A"/>
    <w:rsid w:val="008359EE"/>
    <w:rsid w:val="00862DB0"/>
    <w:rsid w:val="00877A5C"/>
    <w:rsid w:val="00882948"/>
    <w:rsid w:val="00883C78"/>
    <w:rsid w:val="00884FBD"/>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AE74ED"/>
    <w:rsid w:val="00B060FF"/>
    <w:rsid w:val="00B101E9"/>
    <w:rsid w:val="00B26EDE"/>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82AEF"/>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DF4E1B"/>
    <w:rsid w:val="00E01EE1"/>
    <w:rsid w:val="00E04EC5"/>
    <w:rsid w:val="00E1119C"/>
    <w:rsid w:val="00E16514"/>
    <w:rsid w:val="00E4308F"/>
    <w:rsid w:val="00E55C9E"/>
    <w:rsid w:val="00E65A65"/>
    <w:rsid w:val="00E743A1"/>
    <w:rsid w:val="00E86139"/>
    <w:rsid w:val="00E94849"/>
    <w:rsid w:val="00EA2F86"/>
    <w:rsid w:val="00EE2C1B"/>
    <w:rsid w:val="00EF1BCD"/>
    <w:rsid w:val="00F03ADC"/>
    <w:rsid w:val="00F16790"/>
    <w:rsid w:val="00F4039B"/>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98392099">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74C7-3EF9-48C6-97B6-C4A3024C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12890</Words>
  <Characters>73474</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86192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18</cp:revision>
  <dcterms:created xsi:type="dcterms:W3CDTF">2023-09-04T12:51:00Z</dcterms:created>
  <dcterms:modified xsi:type="dcterms:W3CDTF">2024-03-06T14:39:00Z</dcterms:modified>
</cp:coreProperties>
</file>