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fill="FFFFFF"/>
        <w:suppressAutoHyphens w:val="true"/>
        <w:spacing w:lineRule="auto" w:line="240" w:before="0" w:after="0"/>
        <w:ind w:hanging="0" w:left="30" w:right="0"/>
        <w:jc w:val="right"/>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 1</w:t>
      </w:r>
    </w:p>
    <w:p>
      <w:pPr>
        <w:pStyle w:val="Normal"/>
        <w:shd w:val="clear" w:fill="FFFFFF"/>
        <w:spacing w:lineRule="auto" w:line="240" w:before="0" w:after="0"/>
        <w:ind w:firstLine="450" w:left="5400" w:right="0"/>
        <w:jc w:val="right"/>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lang w:val="uk-UA"/>
        </w:rPr>
      </w:pPr>
      <w:r>
        <w:rPr>
          <w:rFonts w:ascii="Times New Roman" w:hAnsi="Times New Roman"/>
          <w:b w:val="false"/>
          <w:bCs w:val="false"/>
          <w:sz w:val="24"/>
          <w:szCs w:val="24"/>
          <w:lang w:val="uk-UA" w:eastAsia="ar-SA"/>
        </w:rPr>
        <w:tab/>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Pr>
          <w:rFonts w:eastAsia="Times New Roman" w:ascii="Times New Roman" w:hAnsi="Times New Roman"/>
          <w:b w:val="false"/>
          <w:bCs w:val="false"/>
          <w:i w:val="false"/>
          <w:iCs w:val="false"/>
          <w:sz w:val="24"/>
          <w:szCs w:val="24"/>
          <w:lang w:val="uk-UA" w:eastAsia="ar-SA"/>
        </w:rPr>
        <w:t>“Паливні брикети з деревини твердих порід (код ДК 021:2015 — 09110000-3 - Тверде паливо)”:</w:t>
      </w:r>
    </w:p>
    <w:p>
      <w:pPr>
        <w:pStyle w:val="Normal"/>
        <w:suppressAutoHyphens w:val="true"/>
        <w:spacing w:lineRule="auto" w:line="360" w:before="0" w:after="0"/>
        <w:jc w:val="both"/>
        <w:rPr>
          <w:lang w:val="uk-UA"/>
        </w:rPr>
      </w:pPr>
      <w:r>
        <w:rPr>
          <w:rFonts w:eastAsia="Times New Roman" w:cs="Times New Roman" w:ascii="Times New Roman" w:hAnsi="Times New Roman"/>
          <w:b/>
          <w:bCs/>
          <w:i w:val="false"/>
          <w:iCs w:val="false"/>
          <w:color w:val="000000"/>
          <w:sz w:val="24"/>
          <w:szCs w:val="24"/>
          <w:lang w:val="uk-UA" w:eastAsia="ar-SA"/>
        </w:rPr>
        <w:tab/>
        <w:t>1. Технічні, якісні та кількісні характеристики товару, що пропонуються учасником процедури закупівлі  до постачання, повинні відповідати нижчезазначеним вимогам:</w:t>
      </w:r>
    </w:p>
    <w:tbl>
      <w:tblPr>
        <w:tblW w:w="10485" w:type="dxa"/>
        <w:jc w:val="left"/>
        <w:tblInd w:w="37" w:type="dxa"/>
        <w:tblLayout w:type="fixed"/>
        <w:tblCellMar>
          <w:top w:w="0" w:type="dxa"/>
          <w:left w:w="108" w:type="dxa"/>
          <w:bottom w:w="0" w:type="dxa"/>
          <w:right w:w="108" w:type="dxa"/>
        </w:tblCellMar>
      </w:tblPr>
      <w:tblGrid>
        <w:gridCol w:w="5325"/>
        <w:gridCol w:w="5159"/>
      </w:tblGrid>
      <w:tr>
        <w:trPr>
          <w:trHeight w:val="339" w:hRule="atLeast"/>
        </w:trPr>
        <w:tc>
          <w:tcPr>
            <w:tcW w:w="53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b w:val="false"/>
                <w:bCs w:val="false"/>
                <w:color w:val="auto"/>
                <w:sz w:val="20"/>
                <w:szCs w:val="20"/>
                <w:lang w:val="uk-UA"/>
              </w:rPr>
            </w:pPr>
            <w:r>
              <w:rPr>
                <w:b w:val="false"/>
                <w:bCs w:val="false"/>
                <w:color w:val="auto"/>
                <w:sz w:val="20"/>
                <w:szCs w:val="20"/>
                <w:lang w:val="uk-UA"/>
              </w:rPr>
              <w:t>Назва показника</w:t>
            </w:r>
          </w:p>
        </w:tc>
        <w:tc>
          <w:tcPr>
            <w:tcW w:w="51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b w:val="false"/>
                <w:bCs w:val="false"/>
                <w:color w:val="auto"/>
                <w:sz w:val="20"/>
                <w:szCs w:val="20"/>
                <w:lang w:val="uk-UA"/>
              </w:rPr>
            </w:pPr>
            <w:r>
              <w:rPr>
                <w:b w:val="false"/>
                <w:bCs w:val="false"/>
                <w:color w:val="auto"/>
                <w:sz w:val="20"/>
                <w:szCs w:val="20"/>
                <w:lang w:val="uk-UA"/>
              </w:rPr>
              <w:t>Значення показників</w:t>
            </w:r>
          </w:p>
        </w:tc>
      </w:tr>
      <w:tr>
        <w:trPr>
          <w:trHeight w:val="624" w:hRule="atLeast"/>
        </w:trPr>
        <w:tc>
          <w:tcPr>
            <w:tcW w:w="5325" w:type="dxa"/>
            <w:tcBorders>
              <w:left w:val="single" w:sz="4" w:space="0" w:color="000000"/>
              <w:bottom w:val="single" w:sz="4" w:space="0" w:color="000000"/>
              <w:right w:val="single" w:sz="4" w:space="0" w:color="000000"/>
            </w:tcBorders>
            <w:vAlign w:val="center"/>
          </w:tcPr>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Найменування товару</w:t>
            </w:r>
          </w:p>
        </w:tc>
        <w:tc>
          <w:tcPr>
            <w:tcW w:w="5159"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360" w:before="0" w:after="0"/>
              <w:jc w:val="both"/>
              <w:rPr>
                <w:rFonts w:ascii="Times New Roman" w:hAnsi="Times New Roman" w:eastAsia="Times New Roman"/>
                <w:b w:val="false"/>
                <w:bCs w:val="false"/>
                <w:i w:val="false"/>
                <w:i w:val="false"/>
                <w:iCs w:val="false"/>
                <w:color w:val="auto"/>
                <w:sz w:val="24"/>
                <w:szCs w:val="24"/>
                <w:lang w:val="uk-UA" w:eastAsia="ar-SA"/>
              </w:rPr>
            </w:pPr>
            <w:r>
              <w:rPr>
                <w:rFonts w:eastAsia="Times New Roman" w:ascii="Times New Roman" w:hAnsi="Times New Roman"/>
                <w:b w:val="false"/>
                <w:bCs w:val="false"/>
                <w:i w:val="false"/>
                <w:iCs w:val="false"/>
                <w:color w:val="auto"/>
                <w:sz w:val="24"/>
                <w:szCs w:val="24"/>
                <w:lang w:val="uk-UA" w:eastAsia="ar-SA"/>
              </w:rPr>
              <w:t>Паливні брикети з деревини твердих порід</w:t>
            </w:r>
          </w:p>
        </w:tc>
      </w:tr>
      <w:tr>
        <w:trPr>
          <w:trHeight w:val="171" w:hRule="atLeast"/>
        </w:trPr>
        <w:tc>
          <w:tcPr>
            <w:tcW w:w="53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Одиниця виміру</w:t>
            </w:r>
          </w:p>
        </w:tc>
        <w:tc>
          <w:tcPr>
            <w:tcW w:w="51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color w:val="auto"/>
                <w:sz w:val="24"/>
                <w:szCs w:val="24"/>
                <w:lang w:val="uk-UA"/>
              </w:rPr>
            </w:pPr>
            <w:r>
              <w:rPr>
                <w:rFonts w:ascii="Times New Roman" w:hAnsi="Times New Roman"/>
                <w:color w:val="auto"/>
                <w:sz w:val="24"/>
                <w:szCs w:val="24"/>
                <w:lang w:val="uk-UA"/>
              </w:rPr>
              <w:t>т</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Кількість</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color w:val="auto"/>
                <w:sz w:val="24"/>
                <w:szCs w:val="24"/>
                <w:lang w:val="uk-UA"/>
              </w:rPr>
            </w:pPr>
            <w:r>
              <w:rPr>
                <w:rFonts w:ascii="Times New Roman" w:hAnsi="Times New Roman"/>
                <w:color w:val="auto"/>
                <w:sz w:val="24"/>
                <w:szCs w:val="24"/>
                <w:lang w:val="uk-UA"/>
              </w:rPr>
              <w:t>22</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Класифікація за породами деревини</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360"/>
              <w:rPr>
                <w:rFonts w:ascii="Times New Roman" w:hAnsi="Times New Roman"/>
                <w:color w:val="auto"/>
                <w:sz w:val="24"/>
                <w:szCs w:val="24"/>
                <w:lang w:val="uk-UA"/>
              </w:rPr>
            </w:pPr>
            <w:r>
              <w:rPr>
                <w:rFonts w:ascii="Times New Roman" w:hAnsi="Times New Roman"/>
                <w:color w:val="auto"/>
                <w:sz w:val="24"/>
                <w:szCs w:val="24"/>
                <w:lang w:val="uk-UA"/>
              </w:rPr>
              <w:t>з деревини твердих порід</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Класифікація за групами якості</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1 група якості</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b w:val="false"/>
                <w:bCs w:val="false"/>
                <w:color w:val="auto"/>
                <w:sz w:val="20"/>
                <w:szCs w:val="20"/>
                <w:lang w:val="uk-UA"/>
              </w:rPr>
            </w:pPr>
            <w:r>
              <w:rPr>
                <w:rFonts w:ascii="Times New Roman" w:hAnsi="Times New Roman"/>
                <w:b w:val="false"/>
                <w:bCs w:val="false"/>
                <w:color w:val="auto"/>
                <w:sz w:val="20"/>
                <w:szCs w:val="20"/>
                <w:lang w:val="uk-UA"/>
              </w:rPr>
              <w:t>Назва показників, одиниці вимірювань</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b w:val="false"/>
                <w:bCs w:val="false"/>
                <w:color w:val="auto"/>
                <w:sz w:val="20"/>
                <w:szCs w:val="20"/>
                <w:lang w:val="uk-UA"/>
              </w:rPr>
            </w:pPr>
            <w:r>
              <w:rPr>
                <w:rFonts w:ascii="Times New Roman" w:hAnsi="Times New Roman"/>
                <w:b w:val="false"/>
                <w:bCs w:val="false"/>
                <w:color w:val="auto"/>
                <w:sz w:val="20"/>
                <w:szCs w:val="20"/>
                <w:lang w:val="uk-UA"/>
              </w:rPr>
              <w:t>Значення показників</w:t>
            </w:r>
          </w:p>
        </w:tc>
      </w:tr>
      <w:tr>
        <w:trPr>
          <w:trHeight w:val="171" w:hRule="atLeast"/>
        </w:trPr>
        <w:tc>
          <w:tcPr>
            <w:tcW w:w="10484" w:type="dxa"/>
            <w:gridSpan w:val="2"/>
            <w:tcBorders>
              <w:left w:val="single" w:sz="4" w:space="0" w:color="000000"/>
              <w:bottom w:val="single" w:sz="4" w:space="0" w:color="000000"/>
              <w:right w:val="single" w:sz="4" w:space="0" w:color="000000"/>
            </w:tcBorders>
          </w:tcPr>
          <w:p>
            <w:pPr>
              <w:pStyle w:val="Normal"/>
              <w:widowControl w:val="false"/>
              <w:spacing w:lineRule="auto" w:line="360"/>
              <w:jc w:val="center"/>
              <w:rPr>
                <w:rFonts w:ascii="Times New Roman" w:hAnsi="Times New Roman"/>
                <w:b w:val="false"/>
                <w:bCs w:val="false"/>
                <w:color w:val="auto"/>
                <w:sz w:val="20"/>
                <w:szCs w:val="20"/>
                <w:lang w:val="uk-UA"/>
              </w:rPr>
            </w:pPr>
            <w:r>
              <w:rPr>
                <w:rFonts w:ascii="Times New Roman" w:hAnsi="Times New Roman"/>
                <w:b w:val="false"/>
                <w:bCs w:val="false"/>
                <w:color w:val="auto"/>
                <w:sz w:val="20"/>
                <w:szCs w:val="20"/>
                <w:lang w:val="uk-UA"/>
              </w:rPr>
              <w:t>Фізико-хімічні показники</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Щільність, кг/</w:t>
            </w:r>
            <w:r>
              <w:rPr>
                <w:rFonts w:ascii="Times New Roman" w:hAnsi="Times New Roman"/>
                <w:sz w:val="24"/>
                <w:szCs w:val="24"/>
                <w:lang w:val="uk-UA"/>
              </w:rPr>
              <w:t>д</w:t>
            </w:r>
            <w:r>
              <w:rPr>
                <w:rFonts w:ascii="Times New Roman" w:hAnsi="Times New Roman"/>
                <w:sz w:val="24"/>
                <w:szCs w:val="24"/>
              </w:rPr>
              <w:t>м</w:t>
            </w:r>
            <w:r>
              <w:rPr>
                <w:rFonts w:ascii="Times New Roman" w:hAnsi="Times New Roman"/>
                <w:sz w:val="24"/>
                <w:szCs w:val="24"/>
                <w:vertAlign w:val="superscript"/>
              </w:rPr>
              <w:t>3</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не менше ніж 1,1</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Вологість, %</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не більше ніж 10</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Зольність, %</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не більше ніж 1,0</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Найнижча питома теплота згорання</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робочої маси брикету, МДж/кг</w:t>
            </w:r>
          </w:p>
        </w:tc>
        <w:tc>
          <w:tcPr>
            <w:tcW w:w="515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не менше ніж 17,5</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Вміст сірки, %</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не більше ніж 0,08</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Вміст азоту, %</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не більше ніж 0,3</w:t>
            </w:r>
          </w:p>
        </w:tc>
      </w:tr>
      <w:tr>
        <w:trPr>
          <w:trHeight w:val="171" w:hRule="atLeast"/>
        </w:trPr>
        <w:tc>
          <w:tcPr>
            <w:tcW w:w="5325"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Вміст хлору, %</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не більше ніж 0,02</w:t>
            </w:r>
          </w:p>
        </w:tc>
      </w:tr>
      <w:tr>
        <w:trPr>
          <w:trHeight w:val="171" w:hRule="atLeast"/>
        </w:trPr>
        <w:tc>
          <w:tcPr>
            <w:tcW w:w="10484" w:type="dxa"/>
            <w:gridSpan w:val="2"/>
            <w:tcBorders>
              <w:left w:val="single" w:sz="4" w:space="0" w:color="000000"/>
              <w:bottom w:val="single" w:sz="4" w:space="0" w:color="000000"/>
              <w:right w:val="single" w:sz="4" w:space="0" w:color="000000"/>
            </w:tcBorders>
          </w:tcPr>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Розміри у міліметрах:</w:t>
            </w:r>
          </w:p>
          <w:p>
            <w:pPr>
              <w:pStyle w:val="Normal"/>
              <w:widowControl w:val="false"/>
              <w:spacing w:lineRule="auto" w:line="360"/>
              <w:jc w:val="left"/>
              <w:rPr>
                <w:rFonts w:ascii="Times New Roman" w:hAnsi="Times New Roman"/>
                <w:b w:val="false"/>
                <w:bCs w:val="false"/>
                <w:color w:val="auto"/>
                <w:sz w:val="24"/>
                <w:szCs w:val="24"/>
                <w:lang w:val="uk-UA"/>
              </w:rPr>
            </w:pPr>
            <w:r>
              <w:rPr>
                <w:rFonts w:eastAsia="Times New Roman" w:ascii="Times New Roman" w:hAnsi="Times New Roman"/>
                <w:b w:val="false"/>
                <w:bCs w:val="false"/>
                <w:i w:val="false"/>
                <w:iCs w:val="false"/>
                <w:color w:val="auto"/>
                <w:sz w:val="24"/>
                <w:szCs w:val="24"/>
                <w:lang w:val="uk-UA" w:eastAsia="ar-SA"/>
              </w:rPr>
              <w:t xml:space="preserve">— </w:t>
            </w:r>
            <w:r>
              <w:rPr>
                <w:rFonts w:ascii="Times New Roman" w:hAnsi="Times New Roman"/>
                <w:b w:val="false"/>
                <w:bCs w:val="false"/>
                <w:color w:val="auto"/>
                <w:sz w:val="24"/>
                <w:szCs w:val="24"/>
                <w:lang w:val="uk-UA"/>
              </w:rPr>
              <w:t xml:space="preserve"> </w:t>
            </w:r>
            <w:r>
              <w:rPr>
                <w:rFonts w:ascii="Times New Roman" w:hAnsi="Times New Roman"/>
                <w:b w:val="false"/>
                <w:bCs w:val="false"/>
                <w:color w:val="auto"/>
                <w:sz w:val="24"/>
                <w:szCs w:val="24"/>
                <w:lang w:val="uk-UA"/>
              </w:rPr>
              <w:t xml:space="preserve">за довжиною </w:t>
            </w:r>
            <w:r>
              <w:rPr>
                <w:rFonts w:eastAsia="Times New Roman" w:ascii="Times New Roman" w:hAnsi="Times New Roman"/>
                <w:b w:val="false"/>
                <w:bCs w:val="false"/>
                <w:i w:val="false"/>
                <w:iCs w:val="false"/>
                <w:color w:val="auto"/>
                <w:sz w:val="24"/>
                <w:szCs w:val="24"/>
                <w:lang w:val="uk-UA" w:eastAsia="ar-SA"/>
              </w:rPr>
              <w:t xml:space="preserve">— </w:t>
            </w:r>
            <w:r>
              <w:rPr>
                <w:rFonts w:ascii="Times New Roman" w:hAnsi="Times New Roman"/>
                <w:b w:val="false"/>
                <w:bCs w:val="false"/>
                <w:color w:val="auto"/>
                <w:sz w:val="24"/>
                <w:szCs w:val="24"/>
                <w:lang w:val="uk-UA"/>
              </w:rPr>
              <w:t xml:space="preserve"> від  10 до 400</w:t>
            </w:r>
          </w:p>
          <w:p>
            <w:pPr>
              <w:pStyle w:val="Normal"/>
              <w:widowControl w:val="false"/>
              <w:spacing w:lineRule="auto" w:line="360"/>
              <w:jc w:val="left"/>
              <w:rPr>
                <w:rFonts w:ascii="Times New Roman" w:hAnsi="Times New Roman"/>
                <w:b w:val="false"/>
                <w:bCs w:val="false"/>
                <w:color w:val="auto"/>
                <w:sz w:val="24"/>
                <w:szCs w:val="24"/>
                <w:lang w:val="uk-UA"/>
              </w:rPr>
            </w:pPr>
            <w:r>
              <w:rPr>
                <w:rFonts w:eastAsia="Times New Roman" w:ascii="Times New Roman" w:hAnsi="Times New Roman"/>
                <w:b w:val="false"/>
                <w:bCs w:val="false"/>
                <w:i w:val="false"/>
                <w:iCs w:val="false"/>
                <w:color w:val="auto"/>
                <w:sz w:val="24"/>
                <w:szCs w:val="24"/>
                <w:lang w:val="uk-UA" w:eastAsia="ar-SA"/>
              </w:rPr>
              <w:t xml:space="preserve">— </w:t>
            </w:r>
            <w:r>
              <w:rPr>
                <w:rFonts w:ascii="Times New Roman" w:hAnsi="Times New Roman"/>
                <w:b w:val="false"/>
                <w:bCs w:val="false"/>
                <w:color w:val="auto"/>
                <w:sz w:val="24"/>
                <w:szCs w:val="24"/>
                <w:lang w:val="uk-UA"/>
              </w:rPr>
              <w:t xml:space="preserve"> </w:t>
            </w:r>
            <w:r>
              <w:rPr>
                <w:rFonts w:ascii="Times New Roman" w:hAnsi="Times New Roman"/>
                <w:b w:val="false"/>
                <w:bCs w:val="false"/>
                <w:color w:val="auto"/>
                <w:sz w:val="24"/>
                <w:szCs w:val="24"/>
                <w:lang w:val="uk-UA"/>
              </w:rPr>
              <w:t xml:space="preserve">за товщиною і шириною або діаметром </w:t>
            </w:r>
            <w:r>
              <w:rPr>
                <w:rFonts w:eastAsia="Times New Roman" w:ascii="Times New Roman" w:hAnsi="Times New Roman"/>
                <w:b w:val="false"/>
                <w:bCs w:val="false"/>
                <w:i w:val="false"/>
                <w:iCs w:val="false"/>
                <w:color w:val="auto"/>
                <w:sz w:val="24"/>
                <w:szCs w:val="24"/>
                <w:lang w:val="uk-UA" w:eastAsia="ar-SA"/>
              </w:rPr>
              <w:t xml:space="preserve">— </w:t>
            </w:r>
            <w:r>
              <w:rPr>
                <w:rFonts w:ascii="Times New Roman" w:hAnsi="Times New Roman"/>
                <w:b w:val="false"/>
                <w:bCs w:val="false"/>
                <w:color w:val="auto"/>
                <w:sz w:val="24"/>
                <w:szCs w:val="24"/>
                <w:lang w:val="uk-UA"/>
              </w:rPr>
              <w:t xml:space="preserve"> від 25 до 75</w:t>
            </w:r>
          </w:p>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Допустимі відхили розмірів брикетів від номінальних значень дорівнюють ± 5 мм.</w:t>
            </w:r>
          </w:p>
          <w:p>
            <w:pPr>
              <w:pStyle w:val="Normal"/>
              <w:widowControl w:val="false"/>
              <w:spacing w:lineRule="auto" w:line="360"/>
              <w:jc w:val="left"/>
              <w:rPr>
                <w:rFonts w:ascii="Times New Roman" w:hAnsi="Times New Roman"/>
                <w:b w:val="false"/>
                <w:bCs w:val="false"/>
                <w:color w:val="auto"/>
                <w:sz w:val="24"/>
                <w:szCs w:val="24"/>
                <w:lang w:val="uk-UA"/>
              </w:rPr>
            </w:pPr>
            <w:r>
              <w:rPr>
                <w:rFonts w:ascii="Times New Roman" w:hAnsi="Times New Roman"/>
                <w:b w:val="false"/>
                <w:bCs w:val="false"/>
                <w:color w:val="auto"/>
                <w:sz w:val="24"/>
                <w:szCs w:val="24"/>
                <w:lang w:val="uk-UA"/>
              </w:rPr>
              <w:t>Фактичні поперечні розміри брикетів не повинні бути менше ніж 25 мм</w:t>
            </w:r>
          </w:p>
        </w:tc>
      </w:tr>
      <w:tr>
        <w:trPr>
          <w:trHeight w:val="171" w:hRule="atLeast"/>
        </w:trPr>
        <w:tc>
          <w:tcPr>
            <w:tcW w:w="5325" w:type="dxa"/>
            <w:tcBorders>
              <w:left w:val="single" w:sz="4" w:space="0" w:color="000000"/>
              <w:bottom w:val="single" w:sz="4" w:space="0" w:color="000000"/>
              <w:right w:val="single" w:sz="4" w:space="0" w:color="000000"/>
            </w:tcBorders>
            <w:vAlign w:val="center"/>
          </w:tcPr>
          <w:p>
            <w:pPr>
              <w:pStyle w:val="Normal"/>
              <w:widowControl w:val="false"/>
              <w:spacing w:lineRule="auto" w:line="360"/>
              <w:jc w:val="left"/>
              <w:rPr>
                <w:b w:val="false"/>
                <w:bCs w:val="false"/>
                <w:color w:val="auto"/>
                <w:sz w:val="24"/>
                <w:szCs w:val="24"/>
                <w:lang w:val="uk-UA"/>
              </w:rPr>
            </w:pPr>
            <w:r>
              <w:rPr>
                <w:b w:val="false"/>
                <w:bCs w:val="false"/>
                <w:color w:val="auto"/>
                <w:sz w:val="24"/>
                <w:szCs w:val="24"/>
                <w:lang w:val="uk-UA"/>
              </w:rPr>
              <w:t>Відповідність ДСТУ</w:t>
            </w:r>
          </w:p>
        </w:tc>
        <w:tc>
          <w:tcPr>
            <w:tcW w:w="5159" w:type="dxa"/>
            <w:tcBorders>
              <w:left w:val="single" w:sz="4" w:space="0" w:color="000000"/>
              <w:bottom w:val="single" w:sz="4" w:space="0" w:color="000000"/>
              <w:right w:val="single" w:sz="4" w:space="0" w:color="000000"/>
            </w:tcBorders>
          </w:tcPr>
          <w:p>
            <w:pPr>
              <w:pStyle w:val="Normal"/>
              <w:widowControl w:val="false"/>
              <w:spacing w:lineRule="auto" w:line="360"/>
              <w:rPr>
                <w:lang w:val="uk-UA"/>
              </w:rPr>
            </w:pPr>
            <w:r>
              <w:rPr>
                <w:lang w:val="uk-UA"/>
              </w:rPr>
              <w:t>ДСТУ 8358:2015 Брикети та гранули паливні з деревинної сировини. Технічні умови</w:t>
            </w:r>
          </w:p>
        </w:tc>
      </w:tr>
    </w:tbl>
    <w:p>
      <w:pPr>
        <w:pStyle w:val="Normal"/>
        <w:widowControl w:val="false"/>
        <w:tabs>
          <w:tab w:val="clear" w:pos="709"/>
          <w:tab w:val="left" w:pos="735" w:leader="none"/>
          <w:tab w:val="center" w:pos="4677" w:leader="none"/>
        </w:tabs>
        <w:spacing w:lineRule="auto" w:line="240" w:before="0" w:after="0"/>
        <w:ind w:firstLine="360"/>
        <w:jc w:val="center"/>
        <w:rPr>
          <w:rFonts w:ascii="Times New Roman" w:hAnsi="Times New Roman"/>
          <w:b/>
          <w:sz w:val="24"/>
          <w:szCs w:val="24"/>
        </w:rPr>
      </w:pPr>
      <w:r>
        <w:rPr>
          <w:rFonts w:ascii="Times New Roman" w:hAnsi="Times New Roman"/>
          <w:b/>
          <w:sz w:val="24"/>
          <w:szCs w:val="24"/>
        </w:rPr>
      </w:r>
    </w:p>
    <w:p>
      <w:pPr>
        <w:pStyle w:val="Normal"/>
        <w:widowControl w:val="false"/>
        <w:tabs>
          <w:tab w:val="clear" w:pos="709"/>
          <w:tab w:val="left" w:pos="735" w:leader="none"/>
          <w:tab w:val="center" w:pos="4677" w:leader="none"/>
        </w:tabs>
        <w:spacing w:lineRule="auto" w:line="240" w:before="0" w:after="0"/>
        <w:ind w:firstLine="360"/>
        <w:jc w:val="center"/>
        <w:rPr>
          <w:rFonts w:ascii="Times New Roman" w:hAnsi="Times New Roman"/>
          <w:b/>
          <w:sz w:val="24"/>
          <w:szCs w:val="24"/>
        </w:rPr>
      </w:pPr>
      <w:r>
        <w:rPr>
          <w:rFonts w:ascii="Times New Roman" w:hAnsi="Times New Roman"/>
          <w:b/>
          <w:sz w:val="24"/>
          <w:szCs w:val="24"/>
        </w:rPr>
        <w:t>2. ЗАГАЛЬНІ ВИМОГИ</w:t>
      </w:r>
    </w:p>
    <w:p>
      <w:pPr>
        <w:pStyle w:val="Normal"/>
        <w:widowControl w:val="false"/>
        <w:tabs>
          <w:tab w:val="clear" w:pos="709"/>
          <w:tab w:val="left" w:pos="735" w:leader="none"/>
          <w:tab w:val="center" w:pos="4677" w:leader="none"/>
        </w:tabs>
        <w:spacing w:lineRule="auto" w:line="240" w:before="0" w:after="0"/>
        <w:ind w:firstLine="360"/>
        <w:jc w:val="center"/>
        <w:rPr>
          <w:rFonts w:ascii="Times New Roman" w:hAnsi="Times New Roman"/>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4"/>
          <w:szCs w:val="24"/>
          <w:lang w:val="ru-RU"/>
        </w:rPr>
      </w:pPr>
      <w:r>
        <w:rPr>
          <w:rFonts w:ascii="Times New Roman" w:hAnsi="Times New Roman"/>
          <w:sz w:val="24"/>
          <w:szCs w:val="24"/>
        </w:rPr>
        <w:t xml:space="preserve">2.1. Строк поставки товару: </w:t>
      </w:r>
      <w:r>
        <w:rPr>
          <w:rFonts w:ascii="Times New Roman" w:hAnsi="Times New Roman"/>
          <w:sz w:val="24"/>
          <w:szCs w:val="24"/>
          <w:lang w:val="uk-UA"/>
        </w:rPr>
        <w:t>до 31.12.2023 р. (за заявкою Замовника</w:t>
      </w:r>
      <w:r>
        <w:rPr>
          <w:rFonts w:ascii="Times New Roman" w:hAnsi="Times New Roman"/>
          <w:sz w:val="24"/>
          <w:szCs w:val="24"/>
        </w:rPr>
        <w:t>).</w:t>
      </w:r>
    </w:p>
    <w:p>
      <w:pPr>
        <w:pStyle w:val="Normal"/>
        <w:widowControl w:val="false"/>
        <w:spacing w:lineRule="auto" w:line="276" w:before="0" w:after="0"/>
        <w:contextualSpacing/>
        <w:jc w:val="both"/>
        <w:rPr/>
      </w:pPr>
      <w:r>
        <w:rPr>
          <w:rFonts w:ascii="Times New Roman" w:hAnsi="Times New Roman"/>
          <w:sz w:val="24"/>
          <w:szCs w:val="24"/>
        </w:rPr>
        <w:t xml:space="preserve">2.2. Місце поставки товару: </w:t>
      </w:r>
      <w:r>
        <w:rPr>
          <w:rFonts w:ascii="Times New Roman" w:hAnsi="Times New Roman"/>
          <w:sz w:val="24"/>
          <w:szCs w:val="24"/>
          <w:shd w:fill="FFFFFF" w:val="clear"/>
        </w:rPr>
        <w:t>Україна, 68100, Одеська</w:t>
      </w:r>
      <w:r>
        <w:rPr>
          <w:rFonts w:ascii="Times New Roman" w:hAnsi="Times New Roman"/>
          <w:sz w:val="24"/>
          <w:szCs w:val="24"/>
        </w:rPr>
        <w:t xml:space="preserve"> область, місто Татарбунари, вулиця Гульченко Романа, будинок 16.</w:t>
      </w:r>
    </w:p>
    <w:p>
      <w:pPr>
        <w:pStyle w:val="Normal"/>
        <w:widowControl w:val="false"/>
        <w:tabs>
          <w:tab w:val="clear" w:pos="709"/>
          <w:tab w:val="left" w:pos="735" w:leader="none"/>
          <w:tab w:val="center" w:pos="4677" w:leader="none"/>
        </w:tabs>
        <w:spacing w:lineRule="auto" w:line="276" w:before="0" w:after="0"/>
        <w:jc w:val="both"/>
        <w:rPr/>
      </w:pPr>
      <w:r>
        <w:rPr>
          <w:rFonts w:ascii="Times New Roman" w:hAnsi="Times New Roman"/>
          <w:sz w:val="24"/>
          <w:szCs w:val="24"/>
          <w:lang w:eastAsia="ru-RU"/>
        </w:rPr>
        <w:t>2.3. Поставка товару Замовнику здійснюється силами Постачальника з використанням власних або залучених транспортних засобів за місцем поставки товару з перевіркою Замовником цілісності, кількості, якості товару.</w:t>
      </w:r>
    </w:p>
    <w:p>
      <w:pPr>
        <w:pStyle w:val="Normal"/>
        <w:spacing w:lineRule="auto" w:line="276" w:before="0" w:after="0"/>
        <w:jc w:val="both"/>
        <w:rPr/>
      </w:pPr>
      <w:r>
        <w:rPr>
          <w:rFonts w:ascii="Times New Roman" w:hAnsi="Times New Roman"/>
          <w:sz w:val="24"/>
          <w:szCs w:val="24"/>
          <w:lang w:eastAsia="ru-RU"/>
        </w:rPr>
        <w:t xml:space="preserve">2.4. </w:t>
      </w:r>
      <w:r>
        <w:rPr>
          <w:rFonts w:ascii="Times New Roman" w:hAnsi="Times New Roman"/>
          <w:bCs/>
          <w:sz w:val="24"/>
          <w:szCs w:val="24"/>
        </w:rPr>
        <w:t>Постачальник забезпечує наявність супровідних документів для транспортування та відповідність обсягу товару, що навантажується, обсягу, який зазначений у супровідних документах.</w:t>
      </w:r>
    </w:p>
    <w:p>
      <w:pPr>
        <w:pStyle w:val="Normal"/>
        <w:tabs>
          <w:tab w:val="clear" w:pos="709"/>
          <w:tab w:val="left" w:pos="426" w:leader="none"/>
        </w:tabs>
        <w:spacing w:lineRule="auto" w:line="276" w:before="0" w:after="0"/>
        <w:jc w:val="both"/>
        <w:rPr/>
      </w:pPr>
      <w:r>
        <w:rPr>
          <w:rFonts w:eastAsia="Arial" w:ascii="Times New Roman" w:hAnsi="Times New Roman"/>
          <w:bCs/>
          <w:spacing w:val="-4"/>
          <w:sz w:val="24"/>
          <w:szCs w:val="24"/>
        </w:rPr>
        <w:t>2.5. Учасник повинен забезпечити проведення зважування товару під час його поставки на території місцезнаходження структурних підрозділів Замовника та в присутності представника Замовника.</w:t>
      </w:r>
    </w:p>
    <w:p>
      <w:pPr>
        <w:pStyle w:val="Normal"/>
        <w:tabs>
          <w:tab w:val="clear" w:pos="709"/>
          <w:tab w:val="left" w:pos="426" w:leader="none"/>
        </w:tabs>
        <w:spacing w:lineRule="auto" w:line="276" w:before="0" w:after="0"/>
        <w:jc w:val="both"/>
        <w:rPr/>
      </w:pPr>
      <w:r>
        <w:rPr>
          <w:rFonts w:ascii="Times New Roman" w:hAnsi="Times New Roman"/>
          <w:sz w:val="24"/>
          <w:szCs w:val="24"/>
        </w:rPr>
        <w:t xml:space="preserve">2.6. При поставці товару повинні надаватися супровідні документи, що підтверджують його походження, якість, відповідність державним стандартам. </w:t>
      </w:r>
      <w:bookmarkStart w:id="0" w:name="_GoBack"/>
      <w:bookmarkEnd w:id="0"/>
    </w:p>
    <w:p>
      <w:pPr>
        <w:pStyle w:val="Normal"/>
        <w:spacing w:lineRule="auto" w:line="360"/>
        <w:jc w:val="both"/>
        <w:rPr/>
      </w:pPr>
      <w:r>
        <w:rPr>
          <w:rFonts w:eastAsia="Times New Roman" w:cs="Times New Roman" w:ascii="Times New Roman" w:hAnsi="Times New Roman"/>
          <w:b/>
          <w:lang w:val="uk-UA" w:eastAsia="ar-SA"/>
        </w:rPr>
        <w:t xml:space="preserve">3. </w:t>
      </w:r>
      <w:r>
        <w:rPr>
          <w:rFonts w:eastAsia="Times New Roman" w:cs="Times New Roman" w:ascii="Times New Roman" w:hAnsi="Times New Roman"/>
          <w:b/>
          <w:lang w:val="uk-UA" w:eastAsia="uk-UA"/>
        </w:rPr>
        <w:t>Перелік документів, які обов’язково повинен подати учасник процедури закупівлі, як частину своєї тендерної пропозиції для підтвердження прийнятності та відповідності запропонованого товару технічним та якісним характеристикам предмета закупівлі</w:t>
      </w:r>
      <w:r>
        <w:rPr>
          <w:rFonts w:eastAsia="Times New Roman" w:cs="Times New Roman" w:ascii="Times New Roman" w:hAnsi="Times New Roman"/>
          <w:b/>
          <w:bCs/>
          <w:lang w:val="uk-UA" w:eastAsia="uk-UA"/>
        </w:rPr>
        <w:t>:</w:t>
      </w:r>
    </w:p>
    <w:p>
      <w:pPr>
        <w:pStyle w:val="Normal"/>
        <w:widowControl w:val="false"/>
        <w:shd w:val="clear" w:fill="FFFFFF"/>
        <w:spacing w:lineRule="auto" w:line="360"/>
        <w:jc w:val="both"/>
        <w:rPr/>
      </w:pPr>
      <w:r>
        <w:rPr>
          <w:rFonts w:eastAsia="Times New Roman" w:cs="Times New Roman" w:ascii="Times New Roman" w:hAnsi="Times New Roman"/>
          <w:b/>
          <w:bCs/>
          <w:color w:val="00000A"/>
          <w:lang w:val="uk-UA" w:eastAsia="uk-UA"/>
        </w:rPr>
        <w:t xml:space="preserve">3.1.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І</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ru-RU" w:bidi="ar-SA"/>
        </w:rPr>
        <w:t>нформаційну довідку (в довільній формі) від учасника процедури закупівлі</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ru-RU" w:bidi="ar-SA"/>
        </w:rPr>
        <w:t xml:space="preserve"> яка має містити інформацію, що підтверджує відповідність його тендерної пропозиції технічним, якісним, кількісним та іншим характеристикам до предмету закупівлі, встановленим цим Додатком.</w:t>
      </w:r>
    </w:p>
    <w:p>
      <w:pPr>
        <w:pStyle w:val="NoSpacing"/>
        <w:spacing w:lineRule="auto" w:line="360"/>
        <w:jc w:val="both"/>
        <w:rPr/>
      </w:pPr>
      <w:r>
        <w:rPr>
          <w:rFonts w:ascii="Times New Roman" w:hAnsi="Times New Roman"/>
          <w:b/>
          <w:bCs/>
          <w:sz w:val="24"/>
          <w:szCs w:val="24"/>
          <w:lang w:val="uk-UA"/>
        </w:rPr>
        <w:t xml:space="preserve">3.2. </w:t>
      </w:r>
      <w:r>
        <w:rPr>
          <w:rFonts w:ascii="Times New Roman" w:hAnsi="Times New Roman"/>
          <w:b w:val="false"/>
          <w:bCs w:val="false"/>
          <w:sz w:val="24"/>
          <w:szCs w:val="24"/>
          <w:lang w:val="uk-UA"/>
        </w:rPr>
        <w:t>П</w:t>
      </w:r>
      <w:r>
        <w:rPr>
          <w:rFonts w:ascii="Times New Roman" w:hAnsi="Times New Roman"/>
          <w:b w:val="false"/>
          <w:bCs w:val="false"/>
          <w:color w:val="000000"/>
          <w:sz w:val="24"/>
          <w:szCs w:val="24"/>
          <w:lang w:val="uk-UA" w:eastAsia="zh-CN"/>
        </w:rPr>
        <w:t>ро</w:t>
      </w:r>
      <w:r>
        <w:rPr>
          <w:rFonts w:ascii="Times New Roman" w:hAnsi="Times New Roman"/>
          <w:color w:val="000000"/>
          <w:sz w:val="24"/>
          <w:szCs w:val="24"/>
          <w:lang w:val="uk-UA" w:eastAsia="zh-CN"/>
        </w:rPr>
        <w:t>токол (-и) випробувань або сертифікат (-и) відповідності або інший (-і)  документ (-и), виданий (-і) не раніше 2022 року на ім'я учасника або його постачальника чи виробника товару, із зазначенням результатів випробовувань по фізико-хімічним показникам зокрема щільність, зольність, вологість, найнижча питома теплота згорання робочої маси брикету, вміст: сірки,  азоту, хлору.</w:t>
      </w:r>
    </w:p>
    <w:p>
      <w:pPr>
        <w:pStyle w:val="Normal"/>
        <w:widowControl w:val="false"/>
        <w:tabs>
          <w:tab w:val="clear" w:pos="709"/>
          <w:tab w:val="left" w:pos="-284" w:leader="none"/>
          <w:tab w:val="left" w:pos="0" w:leader="none"/>
        </w:tabs>
        <w:spacing w:lineRule="auto" w:line="360" w:before="0" w:after="0"/>
        <w:jc w:val="both"/>
        <w:rPr/>
      </w:pPr>
      <w:r>
        <w:rPr>
          <w:rFonts w:ascii="Times New Roman" w:hAnsi="Times New Roman"/>
          <w:b/>
          <w:bCs/>
          <w:position w:val="-2"/>
          <w:sz w:val="24"/>
          <w:szCs w:val="24"/>
          <w:lang w:val="uk-UA"/>
        </w:rPr>
        <w:t>3.3.</w:t>
      </w:r>
      <w:r>
        <w:rPr>
          <w:rFonts w:ascii="Times New Roman" w:hAnsi="Times New Roman"/>
          <w:position w:val="-2"/>
          <w:sz w:val="24"/>
          <w:szCs w:val="24"/>
        </w:rPr>
        <w:t xml:space="preserve"> </w:t>
      </w:r>
      <w:r>
        <w:rPr>
          <w:rFonts w:eastAsia="Calibri" w:ascii="Times New Roman" w:hAnsi="Times New Roman"/>
          <w:sz w:val="24"/>
          <w:szCs w:val="24"/>
          <w:lang w:eastAsia="en-US"/>
        </w:rPr>
        <w:t>Довідку в довільній формі з інформацією про виробника паливних брикетів (його назва, організаційно-правова форма), його місцезнаходження, країну походження.</w:t>
      </w:r>
    </w:p>
    <w:p>
      <w:pPr>
        <w:pStyle w:val="Normal"/>
        <w:widowControl w:val="false"/>
        <w:tabs>
          <w:tab w:val="clear" w:pos="709"/>
          <w:tab w:val="left" w:pos="-284" w:leader="none"/>
          <w:tab w:val="left" w:pos="0" w:leader="none"/>
        </w:tabs>
        <w:spacing w:lineRule="auto" w:line="360" w:before="0" w:after="0"/>
        <w:jc w:val="both"/>
        <w:rPr/>
      </w:pPr>
      <w:r>
        <w:rPr>
          <w:rFonts w:eastAsia="Calibri" w:ascii="Times New Roman" w:hAnsi="Times New Roman"/>
          <w:b/>
          <w:bCs/>
          <w:position w:val="-2"/>
          <w:sz w:val="24"/>
          <w:szCs w:val="24"/>
          <w:lang w:val="uk-UA" w:eastAsia="en-US"/>
        </w:rPr>
        <w:t>3.4.</w:t>
      </w:r>
      <w:r>
        <w:rPr>
          <w:rFonts w:eastAsia="Calibri" w:ascii="Times New Roman" w:hAnsi="Times New Roman"/>
          <w:sz w:val="24"/>
          <w:szCs w:val="24"/>
          <w:lang w:eastAsia="en-US"/>
        </w:rPr>
        <w:t xml:space="preserve"> У разі наявності в </w:t>
      </w:r>
      <w:r>
        <w:rPr>
          <w:rFonts w:eastAsia="Calibri" w:ascii="Times New Roman" w:hAnsi="Times New Roman"/>
          <w:sz w:val="24"/>
          <w:szCs w:val="24"/>
          <w:lang w:val="uk-UA" w:eastAsia="en-US"/>
        </w:rPr>
        <w:t>у</w:t>
      </w:r>
      <w:r>
        <w:rPr>
          <w:rFonts w:eastAsia="Calibri" w:ascii="Times New Roman" w:hAnsi="Times New Roman"/>
          <w:sz w:val="24"/>
          <w:szCs w:val="24"/>
          <w:lang w:eastAsia="en-US"/>
        </w:rPr>
        <w:t xml:space="preserve">часника  </w:t>
      </w:r>
      <w:r>
        <w:rPr>
          <w:rFonts w:eastAsia="Calibri" w:ascii="Times New Roman" w:hAnsi="Times New Roman"/>
          <w:sz w:val="24"/>
          <w:szCs w:val="24"/>
          <w:lang w:val="uk-UA" w:eastAsia="en-US"/>
        </w:rPr>
        <w:t xml:space="preserve">процедури закупівлі </w:t>
      </w:r>
      <w:r>
        <w:rPr>
          <w:rFonts w:eastAsia="Calibri" w:ascii="Times New Roman" w:hAnsi="Times New Roman"/>
          <w:sz w:val="24"/>
          <w:szCs w:val="24"/>
          <w:lang w:eastAsia="en-US"/>
        </w:rPr>
        <w:t xml:space="preserve">договірних відносин з виробником  – надати копію такого договору, строк дії якого </w:t>
      </w:r>
      <w:r>
        <w:rPr>
          <w:rFonts w:eastAsia="Arial" w:ascii="Times New Roman" w:hAnsi="Times New Roman"/>
          <w:color w:val="000000"/>
          <w:sz w:val="24"/>
          <w:szCs w:val="24"/>
        </w:rPr>
        <w:t>не може бути меншим ніж строк поставки товару, який визначений цією тендерною документацією</w:t>
      </w:r>
      <w:r>
        <w:rPr>
          <w:rFonts w:eastAsia="Calibri" w:ascii="Times New Roman" w:hAnsi="Times New Roman"/>
          <w:sz w:val="24"/>
          <w:szCs w:val="24"/>
          <w:lang w:eastAsia="en-US"/>
        </w:rPr>
        <w:t xml:space="preserve"> та гарантійний лист від виробника на ім’я Замовника цих торгів про гарантоване постачання всього обсягу предмета закупівлі Замовнику протягом встановленого цією тендерною документацією строку із зазначення ідентифікатора даної закупівлі.</w:t>
      </w:r>
    </w:p>
    <w:p>
      <w:pPr>
        <w:pStyle w:val="Normal"/>
        <w:widowControl w:val="false"/>
        <w:tabs>
          <w:tab w:val="clear" w:pos="709"/>
          <w:tab w:val="left" w:pos="-284" w:leader="none"/>
          <w:tab w:val="left" w:pos="0" w:leader="none"/>
        </w:tabs>
        <w:spacing w:lineRule="auto" w:line="360" w:before="0" w:after="0"/>
        <w:jc w:val="both"/>
        <w:rPr/>
      </w:pPr>
      <w:r>
        <w:rPr>
          <w:rFonts w:eastAsia="Calibri" w:cs="Times New Roman" w:ascii="Times New Roman" w:hAnsi="Times New Roman"/>
          <w:b/>
          <w:bCs/>
          <w:position w:val="-2"/>
          <w:sz w:val="24"/>
          <w:szCs w:val="24"/>
          <w:lang w:val="uk-UA" w:eastAsia="en-US" w:bidi="ar-SA"/>
        </w:rPr>
        <w:t>3.5.</w:t>
      </w:r>
      <w:r>
        <w:rPr>
          <w:rFonts w:eastAsia="Calibri" w:cs="Times New Roman" w:ascii="Times New Roman" w:hAnsi="Times New Roman"/>
          <w:sz w:val="24"/>
          <w:szCs w:val="24"/>
          <w:lang w:val="uk-UA" w:eastAsia="en-US" w:bidi="ar-SA"/>
        </w:rPr>
        <w:t xml:space="preserve">  У разі наявності в Учасника договірних відносин з постачальником, який не є виробником  – надати копію договору, укладеного між постачальником та виробником, строк дії якого </w:t>
      </w:r>
      <w:r>
        <w:rPr>
          <w:rFonts w:eastAsia="Arial" w:cs="Times New Roman" w:ascii="Times New Roman" w:hAnsi="Times New Roman"/>
          <w:color w:val="000000"/>
          <w:sz w:val="24"/>
          <w:szCs w:val="24"/>
          <w:lang w:val="uk-UA" w:eastAsia="ar-SA" w:bidi="ar-SA"/>
        </w:rPr>
        <w:t>не може бути меншим ніж строк поставки товару, який визначений цією тендерною документацією</w:t>
      </w:r>
      <w:r>
        <w:rPr>
          <w:rFonts w:eastAsia="Calibri" w:cs="Times New Roman" w:ascii="Times New Roman" w:hAnsi="Times New Roman"/>
          <w:sz w:val="24"/>
          <w:szCs w:val="24"/>
          <w:lang w:val="uk-UA" w:eastAsia="en-US" w:bidi="ar-SA"/>
        </w:rPr>
        <w:t xml:space="preserve"> та гарантійний лист від виробника на ім’я постачальника про гарантоване постачання всього обсягу предмета закупівлі постачальнику протягом встановленого строку, а також гарантійний лист від постачальника на ім’я Замовника про гарантоване постачання всього обсягу предмета закупівлі Замовнику протягом встановленого цією тендерною документацією строку із зазначення ідентифікатора даної закупівлі.</w:t>
      </w:r>
    </w:p>
    <w:p>
      <w:pPr>
        <w:pStyle w:val="Normal"/>
        <w:widowControl w:val="false"/>
        <w:spacing w:lineRule="auto" w:line="360"/>
        <w:jc w:val="both"/>
        <w:rPr/>
      </w:pPr>
      <w:r>
        <w:rPr>
          <w:rFonts w:eastAsia="Calibri" w:cs="Times New Roman" w:ascii="Times New Roman" w:hAnsi="Times New Roman"/>
          <w:b/>
          <w:bCs/>
          <w:color w:val="00000A"/>
          <w:position w:val="-2"/>
          <w:sz w:val="24"/>
          <w:szCs w:val="24"/>
          <w:lang w:val="uk-UA" w:eastAsia="en-US" w:bidi="ar-SA"/>
        </w:rPr>
        <w:t>3.6.</w:t>
      </w:r>
      <w:r>
        <w:rPr>
          <w:rFonts w:eastAsia="Calibri" w:cs="Times New Roman" w:ascii="Times New Roman" w:hAnsi="Times New Roman"/>
          <w:b/>
          <w:bCs/>
          <w:i w:val="false"/>
          <w:iCs w:val="false"/>
          <w:caps w:val="false"/>
          <w:smallCaps w:val="false"/>
          <w:color w:val="00000A"/>
          <w:spacing w:val="0"/>
          <w:sz w:val="24"/>
          <w:szCs w:val="24"/>
          <w:u w:val="none"/>
          <w:shd w:fill="auto" w:val="clear"/>
          <w:lang w:val="uk-UA" w:eastAsia="en-US" w:bidi="ar-SA"/>
        </w:rPr>
        <w:t xml:space="preserve">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Гарантійний лист (в довільній формі) від учасника процедури закупівлі, у якому має бути зазначено,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не є громадянин Російської Федерації/Республіки Білорусь (крім того, що проживає на території України на законних підставах),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пропонує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bidi w:val="0"/>
        <w:spacing w:lineRule="auto" w:line="360" w:before="0" w:after="0"/>
        <w:jc w:val="both"/>
        <w:rPr/>
      </w:pPr>
      <w:r>
        <w:rPr>
          <w:rFonts w:eastAsia="Calibri" w:cs="Times New Roman" w:ascii="Times New Roman" w:hAnsi="Times New Roman"/>
          <w:b/>
          <w:bCs/>
          <w:i w:val="false"/>
          <w:iCs w:val="false"/>
          <w:caps w:val="false"/>
          <w:smallCaps w:val="false"/>
          <w:color w:val="00000A"/>
          <w:spacing w:val="0"/>
          <w:position w:val="-2"/>
          <w:sz w:val="24"/>
          <w:szCs w:val="24"/>
          <w:u w:val="none"/>
          <w:shd w:fill="auto" w:val="clear"/>
          <w:lang w:val="uk-UA" w:eastAsia="en-US" w:bidi="ar-SA"/>
        </w:rPr>
        <w:t>3.7.</w:t>
      </w:r>
      <w:r>
        <w:rPr>
          <w:rFonts w:eastAsia="Times New Roman" w:cs="Times New Roman" w:ascii="Times New Roman" w:hAnsi="Times New Roman"/>
          <w:b/>
          <w:bCs/>
          <w:i w:val="false"/>
          <w:iCs w:val="false"/>
          <w:caps w:val="false"/>
          <w:smallCaps w:val="false"/>
          <w:color w:val="00000A"/>
          <w:spacing w:val="0"/>
          <w:sz w:val="24"/>
          <w:szCs w:val="24"/>
          <w:u w:val="none"/>
          <w:shd w:fill="auto" w:val="clear"/>
          <w:lang w:val="uk-UA" w:eastAsia="uk-UA" w:bidi="ar-SA"/>
        </w:rPr>
        <w:t xml:space="preserve">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Гарантійний лист (в довільній формі)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від учасника процедури закупівлі, у якому має бути зазначено,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Standard"/>
        <w:spacing w:lineRule="auto" w:line="276" w:before="60" w:after="0"/>
        <w:jc w:val="both"/>
        <w:rPr>
          <w:sz w:val="24"/>
          <w:szCs w:val="24"/>
        </w:rPr>
      </w:pPr>
      <w:r>
        <w:rPr>
          <w:b/>
          <w:i/>
          <w:sz w:val="24"/>
          <w:szCs w:val="24"/>
          <w:u w:val="single"/>
          <w:lang w:val="uk-UA"/>
        </w:rPr>
        <w:t>Примітки:</w:t>
      </w:r>
    </w:p>
    <w:p>
      <w:pPr>
        <w:pStyle w:val="Normal"/>
        <w:spacing w:lineRule="auto" w:line="276" w:before="0" w:after="0"/>
        <w:jc w:val="both"/>
        <w:rPr>
          <w:sz w:val="16"/>
          <w:szCs w:val="16"/>
        </w:rPr>
      </w:pPr>
      <w:r>
        <w:rPr>
          <w:rFonts w:ascii="Times New Roman" w:hAnsi="Times New Roman"/>
          <w:sz w:val="16"/>
          <w:szCs w:val="16"/>
        </w:rPr>
        <w:t>* 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та інших витрат, які нестиме безпосередньо Замовник під час використання, обслуговування та припинення використання такого товару, що є предметом даної закупівлі. Поза цим,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w:t>
      </w:r>
    </w:p>
    <w:p>
      <w:pPr>
        <w:pStyle w:val="Normal"/>
        <w:spacing w:lineRule="auto" w:line="276" w:before="0" w:after="0"/>
        <w:jc w:val="both"/>
        <w:rPr>
          <w:sz w:val="16"/>
          <w:szCs w:val="16"/>
        </w:rPr>
      </w:pPr>
      <w:r>
        <w:rPr>
          <w:rFonts w:ascii="Times New Roman" w:hAnsi="Times New Roman"/>
          <w:sz w:val="16"/>
          <w:szCs w:val="16"/>
        </w:rPr>
        <w:t>**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слід читати з виразом «або еквівалент».</w:t>
      </w:r>
    </w:p>
    <w:p>
      <w:pPr>
        <w:pStyle w:val="Normal"/>
        <w:spacing w:lineRule="auto" w:line="276" w:before="0" w:after="0"/>
        <w:jc w:val="both"/>
        <w:rPr>
          <w:sz w:val="16"/>
          <w:szCs w:val="16"/>
        </w:rPr>
      </w:pPr>
      <w:r>
        <w:rPr>
          <w:rFonts w:ascii="Times New Roman" w:hAnsi="Times New Roman"/>
          <w:sz w:val="16"/>
          <w:szCs w:val="16"/>
        </w:rPr>
        <w:t xml:space="preserve">*** </w:t>
      </w:r>
      <w:r>
        <w:rPr>
          <w:rFonts w:ascii="Times New Roman" w:hAnsi="Times New Roman"/>
          <w:sz w:val="16"/>
          <w:szCs w:val="16"/>
          <w:lang w:val="uk-UA"/>
        </w:rPr>
        <w:t>сірку і азот нормують тільки для брикетів, які виготовлені з подрібленої деревини, що оброблена хімічними добавками.</w:t>
      </w:r>
    </w:p>
    <w:p>
      <w:pPr>
        <w:pStyle w:val="Rvps2"/>
        <w:shd w:val="clear" w:color="auto" w:fill="FFFFFF"/>
        <w:spacing w:lineRule="auto" w:line="276" w:beforeAutospacing="0" w:before="0" w:afterAutospacing="0" w:after="0"/>
        <w:jc w:val="both"/>
        <w:rPr>
          <w:sz w:val="16"/>
          <w:szCs w:val="16"/>
        </w:rPr>
      </w:pPr>
      <w:r>
        <w:rPr>
          <w:sz w:val="16"/>
          <w:szCs w:val="16"/>
        </w:rPr>
      </w:r>
    </w:p>
    <w:sectPr>
      <w:footerReference w:type="default" r:id="rId2"/>
      <w:type w:val="nextPage"/>
      <w:pgSz w:w="11906" w:h="16838"/>
      <w:pgMar w:left="993" w:right="567" w:gutter="0" w:header="0" w:top="851" w:footer="1134" w:bottom="1693"/>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 w:name="FreeSet">
    <w:charset w:val="cc"/>
    <w:family w:val="roman"/>
    <w:pitch w:val="variable"/>
  </w:font>
  <w:font w:name="Times New Roman CYR">
    <w:charset w:val="cc"/>
    <w:family w:val="roman"/>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pPr>
    <w:r>
      <w:rPr/>
      <w:fldChar w:fldCharType="begin"/>
    </w:r>
    <w:r>
      <w:rPr/>
      <w:instrText xml:space="preserve"> PAGE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paragraph" w:styleId="Heading1">
    <w:name w:val="Heading 1"/>
    <w:basedOn w:val="Normal"/>
    <w:qFormat/>
    <w:pPr>
      <w:numPr>
        <w:ilvl w:val="0"/>
        <w:numId w:val="1"/>
      </w:numPr>
      <w:spacing w:lineRule="auto" w:line="240" w:before="280" w:after="280"/>
      <w:outlineLvl w:val="0"/>
    </w:pPr>
    <w:rPr>
      <w:rFonts w:ascii="Times New Roman" w:hAnsi="Times New Roman" w:cs="Times New Roman"/>
      <w:b/>
      <w:bCs/>
      <w:kern w:val="2"/>
      <w:sz w:val="48"/>
      <w:szCs w:val="48"/>
      <w:lang w:val="ru-RU"/>
    </w:rPr>
  </w:style>
  <w:style w:type="paragraph" w:styleId="Heading2">
    <w:name w:val="Heading 2"/>
    <w:basedOn w:val="Normal"/>
    <w:qFormat/>
    <w:pPr>
      <w:numPr>
        <w:ilvl w:val="0"/>
        <w:numId w:val="0"/>
      </w:numPr>
      <w:spacing w:before="280" w:after="280"/>
      <w:outlineLvl w:val="1"/>
    </w:pPr>
    <w:rPr>
      <w:b/>
      <w:bCs/>
      <w:sz w:val="36"/>
      <w:szCs w:val="36"/>
    </w:rPr>
  </w:style>
  <w:style w:type="paragraph" w:styleId="Heading3">
    <w:name w:val="Heading 3"/>
    <w:basedOn w:val="Style14"/>
    <w:qFormat/>
    <w:pPr/>
    <w:rPr/>
  </w:style>
  <w:style w:type="character" w:styleId="Style11">
    <w:name w:val="Маркери"/>
    <w:qFormat/>
    <w:rPr>
      <w:rFonts w:ascii="OpenSymbol" w:hAnsi="OpenSymbol" w:eastAsia="OpenSymbol" w:cs="OpenSymbol"/>
    </w:rPr>
  </w:style>
  <w:style w:type="character" w:styleId="Hyperlink">
    <w:name w:val="Hyperlink"/>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Style12">
    <w:name w:val="Символ нумерації"/>
    <w:qFormat/>
    <w:rPr/>
  </w:style>
  <w:style w:type="character" w:styleId="Hps">
    <w:name w:val="hps"/>
    <w:qFormat/>
    <w:rPr/>
  </w:style>
  <w:style w:type="character" w:styleId="Style13">
    <w:name w:val="Основной шрифт абзаца"/>
    <w:qFormat/>
    <w:rPr/>
  </w:style>
  <w:style w:type="character" w:styleId="D-none">
    <w:name w:val="d-none"/>
    <w:basedOn w:val="Style13"/>
    <w:qFormat/>
    <w:rPr/>
  </w:style>
  <w:style w:type="character" w:styleId="Rvts0">
    <w:name w:val="rvts0"/>
    <w:qFormat/>
    <w:rPr>
      <w:rFonts w:cs="Times New Roman"/>
    </w:rPr>
  </w:style>
  <w:style w:type="character" w:styleId="Liki-item-option-title">
    <w:name w:val="liki-item-option-title"/>
    <w:basedOn w:val="DefaultParagraphFont"/>
    <w:qFormat/>
    <w:rPr/>
  </w:style>
  <w:style w:type="character" w:styleId="WW8Num3z0">
    <w:name w:val="WW8Num3z0"/>
    <w:qFormat/>
    <w:rPr/>
  </w:style>
  <w:style w:type="paragraph" w:styleId="Style14">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5">
    <w:name w:val="Покажчик"/>
    <w:basedOn w:val="Normal"/>
    <w:qFormat/>
    <w:pPr>
      <w:suppressLineNumbers/>
    </w:pPr>
    <w:rPr>
      <w:rFonts w:cs="Mangal"/>
    </w:rPr>
  </w:style>
  <w:style w:type="paragraph" w:styleId="Style16">
    <w:name w:val="Вміст таблиці"/>
    <w:basedOn w:val="Normal"/>
    <w:qFormat/>
    <w:pPr>
      <w:suppressLineNumbers/>
    </w:pPr>
    <w:rPr/>
  </w:style>
  <w:style w:type="paragraph" w:styleId="Style17">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overflowPunct w:val="false"/>
      <w:bidi w:val="0"/>
      <w:spacing w:before="0" w:after="0"/>
      <w:jc w:val="lef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lef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hanging="0" w:left="720" w:right="0"/>
      <w:contextualSpacing/>
    </w:pPr>
    <w:rPr/>
  </w:style>
  <w:style w:type="paragraph" w:styleId="1">
    <w:name w:val="Îáû÷íûé1"/>
    <w:qFormat/>
    <w:pPr>
      <w:widowControl/>
      <w:suppressAutoHyphens w:val="true"/>
      <w:overflowPunct w:val="false"/>
      <w:bidi w:val="0"/>
      <w:spacing w:before="0" w:after="0"/>
      <w:jc w:val="left"/>
      <w:textAlignment w:val="auto"/>
    </w:pPr>
    <w:rPr>
      <w:rFonts w:ascii="FreeSet" w:hAnsi="FreeSet" w:eastAsia="Times New Roman" w:cs="Liberation Serif"/>
      <w:color w:val="000000"/>
      <w:kern w:val="2"/>
      <w:sz w:val="24"/>
      <w:szCs w:val="24"/>
      <w:lang w:val="en-US" w:eastAsia="ar-SA" w:bidi="ar-SA"/>
    </w:rPr>
  </w:style>
  <w:style w:type="paragraph" w:styleId="Header">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1">
    <w:name w:val="Обычный1"/>
    <w:qFormat/>
    <w:pPr>
      <w:widowControl/>
      <w:suppressAutoHyphens w:val="true"/>
      <w:overflowPunct w:val="true"/>
      <w:bidi w:val="0"/>
      <w:spacing w:before="100" w:after="100"/>
      <w:jc w:val="left"/>
    </w:pPr>
    <w:rPr>
      <w:rFonts w:ascii="Times New Roman" w:hAnsi="Times New Roman" w:eastAsia="Times New Roman" w:cs="Times New Roman"/>
      <w:color w:val="auto"/>
      <w:kern w:val="2"/>
      <w:sz w:val="24"/>
      <w:szCs w:val="20"/>
      <w:lang w:val="ru-RU" w:eastAsia="zh-CN" w:bidi="ar-SA"/>
    </w:rPr>
  </w:style>
  <w:style w:type="paragraph" w:styleId="Style18">
    <w:name w:val="Заголовок таблиці"/>
    <w:basedOn w:val="Style16"/>
    <w:qFormat/>
    <w:pPr>
      <w:suppressLineNumbers/>
      <w:jc w:val="center"/>
    </w:pPr>
    <w:rPr>
      <w:b/>
      <w:bCs/>
    </w:rPr>
  </w:style>
  <w:style w:type="paragraph" w:styleId="ListParagraph11">
    <w:name w:val="List Paragraph11"/>
    <w:basedOn w:val="Normal"/>
    <w:qFormat/>
    <w:pPr>
      <w:suppressAutoHyphens w:val="false"/>
      <w:spacing w:lineRule="auto" w:line="240" w:before="0" w:after="0"/>
      <w:ind w:hanging="0" w:left="720" w:right="0"/>
      <w:contextualSpacing/>
    </w:pPr>
    <w:rPr>
      <w:rFonts w:ascii="Times New Roman" w:hAnsi="Times New Roman" w:cs="Times New Roman"/>
      <w:color w:val="auto"/>
      <w:sz w:val="20"/>
      <w:szCs w:val="20"/>
      <w:lang w:eastAsia="ru-RU"/>
    </w:rPr>
  </w:style>
  <w:style w:type="paragraph" w:styleId="Style19">
    <w:name w:val="Базовый"/>
    <w:qFormat/>
    <w:pPr>
      <w:widowControl w:val="false"/>
      <w:suppressAutoHyphens w:val="true"/>
      <w:overflowPunct w:val="false"/>
      <w:bidi w:val="0"/>
      <w:spacing w:lineRule="atLeast" w:line="100" w:before="0" w:after="0"/>
      <w:jc w:val="lef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rPr>
  </w:style>
  <w:style w:type="paragraph" w:styleId="Style20">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true"/>
      <w:spacing w:lineRule="auto" w:line="480" w:before="0" w:after="120"/>
    </w:pPr>
    <w:rPr>
      <w:rFonts w:ascii="Times New Roman CYR" w:hAnsi="Times New Roman CYR" w:eastAsia="Calibri" w:cs="Times New Roman"/>
      <w:kern w:val="0"/>
      <w:lang w:val="x-none" w:bidi="ar-SA"/>
    </w:rPr>
  </w:style>
  <w:style w:type="paragraph" w:styleId="2">
    <w:name w:val="Обычный2"/>
    <w:qFormat/>
    <w:pPr>
      <w:widowControl/>
      <w:suppressAutoHyphens w:val="true"/>
      <w:overflowPunct w:val="true"/>
      <w:bidi w:val="0"/>
      <w:spacing w:lineRule="auto" w:line="276" w:before="0" w:after="0"/>
      <w:jc w:val="left"/>
    </w:pPr>
    <w:rPr>
      <w:rFonts w:ascii="Arial" w:hAnsi="Arial" w:eastAsia="Arial" w:cs="Arial"/>
      <w:color w:val="000000"/>
      <w:kern w:val="2"/>
      <w:sz w:val="20"/>
      <w:szCs w:val="24"/>
      <w:lang w:val="en-US" w:eastAsia="ru-RU" w:bidi="hi-IN"/>
    </w:rPr>
  </w:style>
  <w:style w:type="paragraph" w:styleId="Standard">
    <w:name w:val="Standard"/>
    <w:qFormat/>
    <w:pPr>
      <w:widowControl/>
      <w:suppressAutoHyphens w:val="true"/>
      <w:overflowPunct w:val="false"/>
      <w:bidi w:val="0"/>
      <w:spacing w:lineRule="auto" w:line="240" w:before="0" w:after="0"/>
      <w:jc w:val="left"/>
      <w:textAlignment w:val="baseline"/>
    </w:pPr>
    <w:rPr>
      <w:rFonts w:ascii="Times New Roman" w:hAnsi="Times New Roman" w:eastAsia="Times New Roman" w:cs="Times New Roman"/>
      <w:color w:val="auto"/>
      <w:kern w:val="2"/>
      <w:sz w:val="24"/>
      <w:szCs w:val="24"/>
      <w:lang w:val="en-US" w:eastAsia="ru-RU" w:bidi="hi-IN"/>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20</TotalTime>
  <Application>LibreOffice/7.6.2.1$Windows_X86_64 LibreOffice_project/56f7684011345957bbf33a7ee678afaf4d2ba333</Application>
  <AppVersion>15.0000</AppVersion>
  <Pages>3</Pages>
  <Words>1149</Words>
  <Characters>7928</Characters>
  <CharactersWithSpaces>9044</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2023-03-09T23:27:02Z</dcterms:created>
  <dc:creator/>
  <dc:description/>
  <dc:language>uk-UA</dc:language>
  <cp:lastModifiedBy/>
  <dcterms:modified xsi:type="dcterms:W3CDTF">2023-11-24T13:33:02Z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