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1450E9">
        <w:rPr>
          <w:rFonts w:ascii="Times New Roman" w:hAnsi="Times New Roman"/>
          <w:sz w:val="24"/>
          <w:szCs w:val="24"/>
        </w:rPr>
        <w:t xml:space="preserve">                             </w:t>
      </w:r>
      <w:r w:rsidRPr="00042AAA">
        <w:rPr>
          <w:rFonts w:ascii="Times New Roman" w:hAnsi="Times New Roman"/>
          <w:sz w:val="24"/>
          <w:szCs w:val="24"/>
        </w:rPr>
        <w:t>від «</w:t>
      </w:r>
      <w:r w:rsidR="001450E9">
        <w:rPr>
          <w:rFonts w:ascii="Times New Roman" w:hAnsi="Times New Roman"/>
          <w:sz w:val="24"/>
          <w:szCs w:val="24"/>
        </w:rPr>
        <w:t>2</w:t>
      </w:r>
      <w:r w:rsidR="00C94D43">
        <w:rPr>
          <w:rFonts w:ascii="Times New Roman" w:hAnsi="Times New Roman"/>
          <w:sz w:val="24"/>
          <w:szCs w:val="24"/>
        </w:rPr>
        <w:t>7</w:t>
      </w:r>
      <w:r w:rsidRPr="00042AAA">
        <w:rPr>
          <w:rFonts w:ascii="Times New Roman" w:hAnsi="Times New Roman"/>
          <w:sz w:val="24"/>
          <w:szCs w:val="24"/>
        </w:rPr>
        <w:t>»</w:t>
      </w:r>
      <w:r w:rsidR="007415F4">
        <w:rPr>
          <w:rFonts w:ascii="Times New Roman" w:hAnsi="Times New Roman"/>
          <w:sz w:val="24"/>
          <w:szCs w:val="24"/>
        </w:rPr>
        <w:t xml:space="preserve"> </w:t>
      </w:r>
      <w:r w:rsidR="001450E9">
        <w:rPr>
          <w:rFonts w:ascii="Times New Roman" w:hAnsi="Times New Roman"/>
          <w:sz w:val="24"/>
          <w:szCs w:val="24"/>
        </w:rPr>
        <w:t>вересня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C14ADE">
        <w:rPr>
          <w:rFonts w:ascii="Times New Roman" w:hAnsi="Times New Roman"/>
          <w:sz w:val="24"/>
          <w:szCs w:val="24"/>
        </w:rPr>
        <w:t>1</w:t>
      </w:r>
      <w:r w:rsidR="00C266AD">
        <w:rPr>
          <w:rFonts w:ascii="Times New Roman" w:hAnsi="Times New Roman"/>
          <w:sz w:val="24"/>
          <w:szCs w:val="24"/>
        </w:rPr>
        <w:t>68</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F34560" w:rsidRPr="001450E9" w:rsidRDefault="002F60CD" w:rsidP="00F34560">
      <w:pPr>
        <w:pStyle w:val="ad"/>
        <w:jc w:val="center"/>
        <w:rPr>
          <w:b/>
          <w:szCs w:val="24"/>
          <w:lang w:val="uk-UA"/>
        </w:rPr>
      </w:pPr>
      <w:r w:rsidRPr="001450E9">
        <w:rPr>
          <w:color w:val="000000" w:themeColor="text1"/>
          <w:szCs w:val="24"/>
          <w:lang w:val="uk-UA"/>
        </w:rPr>
        <w:t>на закупівлю</w:t>
      </w:r>
      <w:r w:rsidR="005170B2" w:rsidRPr="001450E9">
        <w:rPr>
          <w:color w:val="000000" w:themeColor="text1"/>
          <w:szCs w:val="24"/>
          <w:lang w:val="uk-UA"/>
        </w:rPr>
        <w:t xml:space="preserve"> товару</w:t>
      </w:r>
      <w:r w:rsidRPr="000E3F95">
        <w:rPr>
          <w:color w:val="000000" w:themeColor="text1"/>
          <w:szCs w:val="24"/>
        </w:rPr>
        <w:t> </w:t>
      </w:r>
      <w:r w:rsidR="005170B2" w:rsidRPr="001450E9">
        <w:rPr>
          <w:b/>
          <w:szCs w:val="24"/>
          <w:lang w:val="uk-UA"/>
        </w:rPr>
        <w:t xml:space="preserve">: </w:t>
      </w:r>
      <w:r w:rsidR="001450E9" w:rsidRPr="001450E9">
        <w:rPr>
          <w:b/>
          <w:caps/>
          <w:szCs w:val="24"/>
          <w:lang w:val="uk-UA"/>
        </w:rPr>
        <w:t xml:space="preserve">Лікарські засоби  код </w:t>
      </w:r>
      <w:r w:rsidR="001450E9" w:rsidRPr="001450E9">
        <w:rPr>
          <w:b/>
          <w:bCs/>
          <w:szCs w:val="24"/>
          <w:lang w:val="uk-UA"/>
        </w:rPr>
        <w:t>ДК</w:t>
      </w:r>
      <w:r w:rsidR="001450E9">
        <w:rPr>
          <w:b/>
          <w:bCs/>
          <w:szCs w:val="24"/>
        </w:rPr>
        <w:t> </w:t>
      </w:r>
      <w:r w:rsidR="001450E9" w:rsidRPr="001450E9">
        <w:rPr>
          <w:b/>
          <w:bCs/>
          <w:szCs w:val="24"/>
          <w:lang w:val="uk-UA"/>
        </w:rPr>
        <w:t>021:2015 – 33600000-6 Фармацевтична продукція  (</w:t>
      </w:r>
      <w:r w:rsidR="001450E9" w:rsidRPr="001450E9">
        <w:rPr>
          <w:bCs/>
          <w:szCs w:val="24"/>
          <w:lang w:val="uk-UA"/>
        </w:rPr>
        <w:t>Бупірол (</w:t>
      </w:r>
      <w:r w:rsidR="001450E9" w:rsidRPr="00823987">
        <w:rPr>
          <w:szCs w:val="24"/>
        </w:rPr>
        <w:t>Ibuprofen</w:t>
      </w:r>
      <w:r w:rsidR="001450E9" w:rsidRPr="001450E9">
        <w:rPr>
          <w:bCs/>
          <w:szCs w:val="24"/>
          <w:lang w:val="uk-UA"/>
        </w:rPr>
        <w:t>) Диклофенак натрію (</w:t>
      </w:r>
      <w:r w:rsidR="001450E9" w:rsidRPr="00823987">
        <w:rPr>
          <w:szCs w:val="24"/>
        </w:rPr>
        <w:t>Diclofenac</w:t>
      </w:r>
      <w:r w:rsidR="001450E9" w:rsidRPr="001450E9">
        <w:rPr>
          <w:bCs/>
          <w:szCs w:val="24"/>
          <w:lang w:val="uk-UA"/>
        </w:rPr>
        <w:t>), Дофамін (</w:t>
      </w:r>
      <w:r w:rsidR="001450E9" w:rsidRPr="00823987">
        <w:rPr>
          <w:szCs w:val="24"/>
        </w:rPr>
        <w:t>Dopamine</w:t>
      </w:r>
      <w:r w:rsidR="001450E9" w:rsidRPr="001450E9">
        <w:rPr>
          <w:bCs/>
          <w:szCs w:val="24"/>
          <w:lang w:val="uk-UA"/>
        </w:rPr>
        <w:t>),  Ацетилсаліцилова кислота (</w:t>
      </w:r>
      <w:r w:rsidR="001450E9" w:rsidRPr="00823987">
        <w:rPr>
          <w:szCs w:val="24"/>
        </w:rPr>
        <w:t>Acetylsalicylic</w:t>
      </w:r>
      <w:r w:rsidR="001450E9" w:rsidRPr="001450E9">
        <w:rPr>
          <w:szCs w:val="24"/>
          <w:lang w:val="uk-UA"/>
        </w:rPr>
        <w:t xml:space="preserve"> </w:t>
      </w:r>
      <w:r w:rsidR="001450E9" w:rsidRPr="00823987">
        <w:rPr>
          <w:szCs w:val="24"/>
        </w:rPr>
        <w:t>acid</w:t>
      </w:r>
      <w:r w:rsidR="001450E9" w:rsidRPr="001450E9">
        <w:rPr>
          <w:bCs/>
          <w:szCs w:val="24"/>
          <w:lang w:val="uk-UA"/>
        </w:rPr>
        <w:t>),</w:t>
      </w:r>
      <w:r w:rsidR="001450E9" w:rsidRPr="001450E9">
        <w:rPr>
          <w:color w:val="000000"/>
          <w:szCs w:val="24"/>
          <w:shd w:val="clear" w:color="auto" w:fill="FFFFFF"/>
          <w:lang w:val="uk-UA"/>
        </w:rPr>
        <w:t xml:space="preserve"> Норадреналіну тартрат агетан (</w:t>
      </w:r>
      <w:r w:rsidR="001450E9" w:rsidRPr="00823987">
        <w:rPr>
          <w:szCs w:val="24"/>
        </w:rPr>
        <w:t>Norepinephrine</w:t>
      </w:r>
      <w:r w:rsidR="001450E9" w:rsidRPr="001450E9">
        <w:rPr>
          <w:color w:val="000000"/>
          <w:szCs w:val="24"/>
          <w:shd w:val="clear" w:color="auto" w:fill="FFFFFF"/>
          <w:lang w:val="uk-UA"/>
        </w:rPr>
        <w:t>),</w:t>
      </w:r>
      <w:r w:rsidR="001450E9" w:rsidRPr="001450E9">
        <w:rPr>
          <w:bCs/>
          <w:szCs w:val="24"/>
          <w:lang w:val="uk-UA"/>
        </w:rPr>
        <w:t xml:space="preserve">  Цефтріаксон (</w:t>
      </w:r>
      <w:r w:rsidR="001450E9" w:rsidRPr="00823987">
        <w:rPr>
          <w:szCs w:val="24"/>
        </w:rPr>
        <w:t>Ceftriaxone</w:t>
      </w:r>
      <w:r w:rsidR="001450E9" w:rsidRPr="001450E9">
        <w:rPr>
          <w:bCs/>
          <w:szCs w:val="24"/>
          <w:lang w:val="uk-UA"/>
        </w:rPr>
        <w:t>)</w:t>
      </w:r>
    </w:p>
    <w:p w:rsidR="00DA5E30" w:rsidRPr="000E3F95" w:rsidRDefault="00DA5E30" w:rsidP="000E3F95">
      <w:pPr>
        <w:spacing w:after="0"/>
        <w:jc w:val="center"/>
        <w:rPr>
          <w:rFonts w:ascii="Times New Roman" w:hAnsi="Times New Roman" w:cs="Times New Roman"/>
          <w:sz w:val="24"/>
          <w:szCs w:val="24"/>
        </w:rPr>
      </w:pPr>
    </w:p>
    <w:p w:rsidR="00DA5E30" w:rsidRPr="001F0621" w:rsidRDefault="002F60CD">
      <w:pPr>
        <w:spacing w:before="240" w:after="0" w:line="240" w:lineRule="auto"/>
        <w:rPr>
          <w:rFonts w:ascii="Times New Roman" w:eastAsia="Times New Roman" w:hAnsi="Times New Roman" w:cs="Times New Roman"/>
          <w:sz w:val="24"/>
          <w:szCs w:val="24"/>
        </w:rPr>
      </w:pPr>
      <w:r w:rsidRPr="001F0621">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1F0621" w:rsidRPr="007931EE" w:rsidRDefault="005170B2" w:rsidP="000E3F95">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7415F4">
              <w:rPr>
                <w:rFonts w:ascii="Times New Roman" w:hAnsi="Times New Roman" w:cs="Times New Roman"/>
                <w:color w:val="000000"/>
                <w:sz w:val="24"/>
                <w:szCs w:val="24"/>
                <w:lang w:val="pl-PL"/>
              </w:rPr>
              <w:t>2</w:t>
            </w:r>
            <w:r w:rsidRPr="007415F4">
              <w:rPr>
                <w:rFonts w:ascii="Times New Roman" w:hAnsi="Times New Roman" w:cs="Times New Roman"/>
                <w:color w:val="000000"/>
                <w:sz w:val="24"/>
                <w:szCs w:val="24"/>
              </w:rPr>
              <w:t xml:space="preserve"> травня 2023 року № </w:t>
            </w:r>
            <w:r w:rsidRPr="007415F4">
              <w:rPr>
                <w:rFonts w:ascii="Times New Roman" w:hAnsi="Times New Roman" w:cs="Times New Roman"/>
                <w:color w:val="000000"/>
                <w:sz w:val="24"/>
                <w:szCs w:val="24"/>
                <w:lang w:val="pl-PL"/>
              </w:rPr>
              <w:t>471</w:t>
            </w:r>
            <w:r w:rsidRPr="007415F4">
              <w:rPr>
                <w:rFonts w:ascii="Times New Roman" w:hAnsi="Times New Roman" w:cs="Times New Roman"/>
                <w:color w:val="000000"/>
                <w:sz w:val="24"/>
                <w:szCs w:val="24"/>
              </w:rPr>
              <w:t xml:space="preserve"> «</w:t>
            </w:r>
            <w:r w:rsidRPr="007415F4">
              <w:rPr>
                <w:rFonts w:ascii="Times New Roman" w:hAnsi="Times New Roman" w:cs="Times New Roman"/>
                <w:color w:val="333333"/>
                <w:sz w:val="24"/>
                <w:szCs w:val="24"/>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1450E9" w:rsidRDefault="001450E9" w:rsidP="00614E0A">
            <w:pPr>
              <w:pStyle w:val="ad"/>
              <w:jc w:val="both"/>
              <w:rPr>
                <w:szCs w:val="24"/>
                <w:lang w:val="uk-UA"/>
              </w:rPr>
            </w:pPr>
            <w:r w:rsidRPr="001450E9">
              <w:rPr>
                <w:caps/>
                <w:szCs w:val="24"/>
                <w:lang w:val="uk-UA"/>
              </w:rPr>
              <w:t xml:space="preserve">Лікарські засоби  код </w:t>
            </w:r>
            <w:r w:rsidRPr="001450E9">
              <w:rPr>
                <w:bCs/>
                <w:szCs w:val="24"/>
                <w:lang w:val="uk-UA"/>
              </w:rPr>
              <w:t>ДК</w:t>
            </w:r>
            <w:r w:rsidRPr="001450E9">
              <w:rPr>
                <w:bCs/>
                <w:szCs w:val="24"/>
              </w:rPr>
              <w:t> </w:t>
            </w:r>
            <w:r w:rsidRPr="001450E9">
              <w:rPr>
                <w:bCs/>
                <w:szCs w:val="24"/>
                <w:lang w:val="uk-UA"/>
              </w:rPr>
              <w:t>021:2015 – 33600000-6 Фармацевтична продукція  (Бупірол (</w:t>
            </w:r>
            <w:r w:rsidRPr="001450E9">
              <w:rPr>
                <w:szCs w:val="24"/>
              </w:rPr>
              <w:t>Ibuprofen</w:t>
            </w:r>
            <w:r w:rsidRPr="001450E9">
              <w:rPr>
                <w:bCs/>
                <w:szCs w:val="24"/>
                <w:lang w:val="uk-UA"/>
              </w:rPr>
              <w:t>) Диклофенак натрію (</w:t>
            </w:r>
            <w:r w:rsidRPr="001450E9">
              <w:rPr>
                <w:szCs w:val="24"/>
              </w:rPr>
              <w:t>Diclofenac</w:t>
            </w:r>
            <w:r w:rsidRPr="001450E9">
              <w:rPr>
                <w:bCs/>
                <w:szCs w:val="24"/>
                <w:lang w:val="uk-UA"/>
              </w:rPr>
              <w:t>), Дофамін (</w:t>
            </w:r>
            <w:r w:rsidRPr="001450E9">
              <w:rPr>
                <w:szCs w:val="24"/>
              </w:rPr>
              <w:t>Dopamine</w:t>
            </w:r>
            <w:r w:rsidRPr="001450E9">
              <w:rPr>
                <w:bCs/>
                <w:szCs w:val="24"/>
                <w:lang w:val="uk-UA"/>
              </w:rPr>
              <w:t>),  Ацетилсаліцилова кислота (</w:t>
            </w:r>
            <w:r w:rsidRPr="001450E9">
              <w:rPr>
                <w:szCs w:val="24"/>
              </w:rPr>
              <w:t>Acetylsalicylic</w:t>
            </w:r>
            <w:r w:rsidRPr="001450E9">
              <w:rPr>
                <w:szCs w:val="24"/>
                <w:lang w:val="uk-UA"/>
              </w:rPr>
              <w:t xml:space="preserve"> </w:t>
            </w:r>
            <w:r w:rsidRPr="001450E9">
              <w:rPr>
                <w:szCs w:val="24"/>
              </w:rPr>
              <w:t>acid</w:t>
            </w:r>
            <w:r w:rsidRPr="001450E9">
              <w:rPr>
                <w:bCs/>
                <w:szCs w:val="24"/>
                <w:lang w:val="uk-UA"/>
              </w:rPr>
              <w:t>),</w:t>
            </w:r>
            <w:r w:rsidRPr="001450E9">
              <w:rPr>
                <w:color w:val="000000"/>
                <w:szCs w:val="24"/>
                <w:shd w:val="clear" w:color="auto" w:fill="FFFFFF"/>
                <w:lang w:val="uk-UA"/>
              </w:rPr>
              <w:t xml:space="preserve"> Норадреналіну тартрат агетан (</w:t>
            </w:r>
            <w:r w:rsidRPr="001450E9">
              <w:rPr>
                <w:szCs w:val="24"/>
              </w:rPr>
              <w:t>Norepinephrine</w:t>
            </w:r>
            <w:r w:rsidRPr="001450E9">
              <w:rPr>
                <w:color w:val="000000"/>
                <w:szCs w:val="24"/>
                <w:shd w:val="clear" w:color="auto" w:fill="FFFFFF"/>
                <w:lang w:val="uk-UA"/>
              </w:rPr>
              <w:t>),</w:t>
            </w:r>
            <w:r w:rsidRPr="001450E9">
              <w:rPr>
                <w:bCs/>
                <w:szCs w:val="24"/>
                <w:lang w:val="uk-UA"/>
              </w:rPr>
              <w:t xml:space="preserve">  Цефтріаксон (</w:t>
            </w:r>
            <w:r w:rsidRPr="001450E9">
              <w:rPr>
                <w:szCs w:val="24"/>
              </w:rPr>
              <w:t>Ceftriaxone</w:t>
            </w:r>
            <w:r w:rsidRPr="001450E9">
              <w:rPr>
                <w:bCs/>
                <w:szCs w:val="24"/>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C266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43C2B">
              <w:rPr>
                <w:rFonts w:ascii="Times New Roman" w:eastAsia="Times New Roman" w:hAnsi="Times New Roman" w:cs="Times New Roman"/>
                <w:color w:val="000000"/>
                <w:sz w:val="24"/>
                <w:szCs w:val="24"/>
              </w:rPr>
              <w:t xml:space="preserve"> найменуван</w:t>
            </w:r>
            <w:r w:rsidR="00614E0A">
              <w:rPr>
                <w:rFonts w:ascii="Times New Roman" w:eastAsia="Times New Roman" w:hAnsi="Times New Roman" w:cs="Times New Roman"/>
                <w:color w:val="000000"/>
                <w:sz w:val="24"/>
                <w:szCs w:val="24"/>
              </w:rPr>
              <w:t>ь</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w:t>
            </w:r>
            <w:r w:rsidRPr="00304D90">
              <w:rPr>
                <w:rFonts w:ascii="Times New Roman" w:hAnsi="Times New Roman"/>
                <w:b/>
                <w:bCs/>
                <w:sz w:val="24"/>
                <w:szCs w:val="24"/>
                <w:lang w:val="uk-UA"/>
              </w:rPr>
              <w:lastRenderedPageBreak/>
              <w:t>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w:t>
            </w:r>
            <w:r w:rsidRPr="00E511A4">
              <w:rPr>
                <w:rFonts w:ascii="Times New Roman" w:hAnsi="Times New Roman" w:cs="Times New Roman"/>
                <w:color w:val="000000"/>
                <w:sz w:val="24"/>
                <w:szCs w:val="24"/>
              </w:rPr>
              <w:lastRenderedPageBreak/>
              <w:t>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w:t>
            </w:r>
            <w:r w:rsidRPr="00105D47">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05D47">
              <w:rPr>
                <w:rFonts w:ascii="Times New Roman" w:eastAsia="Times New Roman" w:hAnsi="Times New Roman" w:cs="Times New Roman"/>
                <w:sz w:val="24"/>
                <w:szCs w:val="24"/>
              </w:rPr>
              <w:lastRenderedPageBreak/>
              <w:t>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w:t>
            </w:r>
            <w:r w:rsidRPr="00105D47">
              <w:rPr>
                <w:rFonts w:ascii="Times New Roman" w:eastAsia="Times New Roman" w:hAnsi="Times New Roman" w:cs="Times New Roman"/>
                <w:b/>
                <w:sz w:val="24"/>
                <w:szCs w:val="24"/>
              </w:rPr>
              <w:lastRenderedPageBreak/>
              <w:t xml:space="preserve">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105D47">
              <w:rPr>
                <w:rFonts w:ascii="Times New Roman" w:eastAsia="Times New Roman" w:hAnsi="Times New Roman" w:cs="Times New Roman"/>
                <w:sz w:val="24"/>
                <w:szCs w:val="24"/>
              </w:rPr>
              <w:lastRenderedPageBreak/>
              <w:t xml:space="preserve">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C266AD" w:rsidP="00C266A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06</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жовтня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rsidR="005A605F" w:rsidRDefault="005A605F" w:rsidP="005A605F">
            <w:pPr>
              <w:pStyle w:val="ad"/>
              <w:jc w:val="both"/>
              <w:rPr>
                <w:color w:val="000000"/>
                <w:szCs w:val="24"/>
                <w:shd w:val="clear" w:color="auto" w:fill="FFFFFF"/>
              </w:rPr>
            </w:pPr>
            <w:bookmarkStart w:id="26" w:name="n1494"/>
            <w:bookmarkEnd w:id="26"/>
            <w:r>
              <w:rPr>
                <w:color w:val="000000"/>
              </w:rPr>
              <w:t xml:space="preserve">Розкриття тендерних пропозицій з інформацією та документами, що підтверджують відповідність учасника </w:t>
            </w:r>
            <w:r>
              <w:rPr>
                <w:color w:val="000000"/>
              </w:rPr>
              <w:lastRenderedPageBreak/>
              <w:t>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367AC">
              <w:rPr>
                <w:rFonts w:ascii="Times New Roman" w:hAnsi="Times New Roman" w:cs="Times New Roman"/>
                <w:color w:val="000000"/>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w:t>
            </w:r>
            <w:r w:rsidRPr="002367AC">
              <w:rPr>
                <w:rFonts w:ascii="Times New Roman" w:hAnsi="Times New Roman" w:cs="Times New Roman"/>
                <w:color w:val="000000"/>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color w:val="000000"/>
                <w:sz w:val="24"/>
                <w:szCs w:val="24"/>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Замовник відхиляє тендерну пропозицію із зазначенням </w:t>
            </w:r>
            <w:r w:rsidRPr="002367AC">
              <w:rPr>
                <w:rFonts w:ascii="Times New Roman" w:hAnsi="Times New Roman" w:cs="Times New Roman"/>
                <w:color w:val="000000"/>
                <w:sz w:val="24"/>
                <w:szCs w:val="24"/>
                <w:highlight w:val="white"/>
              </w:rPr>
              <w:lastRenderedPageBreak/>
              <w:t>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3660C2" w:rsidRPr="003660C2">
              <w:rPr>
                <w:rFonts w:ascii="Times New Roman" w:hAnsi="Times New Roman" w:cs="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2367AC">
              <w:rPr>
                <w:rFonts w:ascii="Times New Roman" w:hAnsi="Times New Roman" w:cs="Times New Roman"/>
                <w:color w:val="000000"/>
                <w:sz w:val="24"/>
                <w:szCs w:val="24"/>
              </w:rPr>
              <w:lastRenderedPageBreak/>
              <w:t>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DC7DD6">
              <w:rPr>
                <w:rFonts w:ascii="Times New Roman" w:hAnsi="Times New Roman" w:cs="Times New Roman"/>
                <w:color w:val="000000"/>
                <w:sz w:val="24"/>
                <w:szCs w:val="24"/>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549" w:rsidRDefault="005A6549">
      <w:pPr>
        <w:spacing w:after="0" w:line="240" w:lineRule="auto"/>
      </w:pPr>
      <w:r>
        <w:separator/>
      </w:r>
    </w:p>
  </w:endnote>
  <w:endnote w:type="continuationSeparator" w:id="1">
    <w:p w:rsidR="005A6549" w:rsidRDefault="005A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615172">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66A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549" w:rsidRDefault="005A6549">
      <w:pPr>
        <w:spacing w:after="0" w:line="240" w:lineRule="auto"/>
      </w:pPr>
      <w:r>
        <w:separator/>
      </w:r>
    </w:p>
  </w:footnote>
  <w:footnote w:type="continuationSeparator" w:id="1">
    <w:p w:rsidR="005A6549" w:rsidRDefault="005A6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50E9"/>
    <w:rsid w:val="00146472"/>
    <w:rsid w:val="00165EB2"/>
    <w:rsid w:val="0016779D"/>
    <w:rsid w:val="001B4072"/>
    <w:rsid w:val="001C285A"/>
    <w:rsid w:val="001E396B"/>
    <w:rsid w:val="001F0621"/>
    <w:rsid w:val="001F3D5C"/>
    <w:rsid w:val="00213393"/>
    <w:rsid w:val="002228CA"/>
    <w:rsid w:val="002345DB"/>
    <w:rsid w:val="002367AC"/>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B3623"/>
    <w:rsid w:val="003C162F"/>
    <w:rsid w:val="003C7EDC"/>
    <w:rsid w:val="00407C30"/>
    <w:rsid w:val="0041244E"/>
    <w:rsid w:val="004233AB"/>
    <w:rsid w:val="00424AC6"/>
    <w:rsid w:val="004338EF"/>
    <w:rsid w:val="004375EA"/>
    <w:rsid w:val="00443F7B"/>
    <w:rsid w:val="00444AEE"/>
    <w:rsid w:val="00454B86"/>
    <w:rsid w:val="004A3DDF"/>
    <w:rsid w:val="004C014B"/>
    <w:rsid w:val="005170B2"/>
    <w:rsid w:val="0059161C"/>
    <w:rsid w:val="005A605F"/>
    <w:rsid w:val="005A6549"/>
    <w:rsid w:val="005E7F7F"/>
    <w:rsid w:val="006111F1"/>
    <w:rsid w:val="006113C1"/>
    <w:rsid w:val="00614E0A"/>
    <w:rsid w:val="00615172"/>
    <w:rsid w:val="00672EBC"/>
    <w:rsid w:val="00682CD9"/>
    <w:rsid w:val="006941A3"/>
    <w:rsid w:val="006A1C08"/>
    <w:rsid w:val="00716D5A"/>
    <w:rsid w:val="0072181B"/>
    <w:rsid w:val="00741247"/>
    <w:rsid w:val="007415F4"/>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E3305"/>
    <w:rsid w:val="008E42DE"/>
    <w:rsid w:val="009260C4"/>
    <w:rsid w:val="009624BD"/>
    <w:rsid w:val="00966040"/>
    <w:rsid w:val="00986F22"/>
    <w:rsid w:val="009A0F3E"/>
    <w:rsid w:val="00A24684"/>
    <w:rsid w:val="00A31915"/>
    <w:rsid w:val="00A349AA"/>
    <w:rsid w:val="00AB4B61"/>
    <w:rsid w:val="00AB7431"/>
    <w:rsid w:val="00AC2C07"/>
    <w:rsid w:val="00AE1057"/>
    <w:rsid w:val="00B10844"/>
    <w:rsid w:val="00BD4C82"/>
    <w:rsid w:val="00C01038"/>
    <w:rsid w:val="00C06422"/>
    <w:rsid w:val="00C149BB"/>
    <w:rsid w:val="00C14ADE"/>
    <w:rsid w:val="00C266AD"/>
    <w:rsid w:val="00C40E71"/>
    <w:rsid w:val="00C45BD5"/>
    <w:rsid w:val="00C650D2"/>
    <w:rsid w:val="00C72B5A"/>
    <w:rsid w:val="00C763B1"/>
    <w:rsid w:val="00C94D43"/>
    <w:rsid w:val="00CD2EC4"/>
    <w:rsid w:val="00CF1201"/>
    <w:rsid w:val="00D17800"/>
    <w:rsid w:val="00D33E65"/>
    <w:rsid w:val="00D50278"/>
    <w:rsid w:val="00D62A9D"/>
    <w:rsid w:val="00D70D45"/>
    <w:rsid w:val="00D9523B"/>
    <w:rsid w:val="00DA5E30"/>
    <w:rsid w:val="00DB4572"/>
    <w:rsid w:val="00DC7DD6"/>
    <w:rsid w:val="00DD08A0"/>
    <w:rsid w:val="00E15CC3"/>
    <w:rsid w:val="00E47A4D"/>
    <w:rsid w:val="00E511A4"/>
    <w:rsid w:val="00E93644"/>
    <w:rsid w:val="00ED4500"/>
    <w:rsid w:val="00F07984"/>
    <w:rsid w:val="00F24A2B"/>
    <w:rsid w:val="00F3321B"/>
    <w:rsid w:val="00F34560"/>
    <w:rsid w:val="00F45483"/>
    <w:rsid w:val="00F45721"/>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21</Pages>
  <Words>7478</Words>
  <Characters>42627</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33</cp:revision>
  <cp:lastPrinted>2023-08-17T11:18:00Z</cp:lastPrinted>
  <dcterms:created xsi:type="dcterms:W3CDTF">2022-11-11T12:51:00Z</dcterms:created>
  <dcterms:modified xsi:type="dcterms:W3CDTF">2023-09-27T12:25:00Z</dcterms:modified>
</cp:coreProperties>
</file>