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Тендерна пропозиція</w:t>
      </w:r>
    </w:p>
    <w:p>
      <w:pPr>
        <w:ind w:firstLine="567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>Сир на 2024рік: сир плавлений ковбасний, сир твердий,  сир кисломолочний (код за ЄЗС ДК 021-2015 (CPV) 15540000-5 - Сирні продукти)</w:t>
      </w:r>
    </w:p>
    <w:p>
      <w:pPr>
        <w:suppressAutoHyphens/>
        <w:spacing w:after="0"/>
        <w:ind w:firstLine="600" w:firstLineChars="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50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Сума, грн., без ПДВ*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  <w:t>Сир плавлений ковбасний копчений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Сир твердий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26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26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26"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Сир кисломолочний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26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26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26"/>
              <w:jc w:val="both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hint="default" w:ascii="Times New Roman" w:hAnsi="Times New Roman" w:eastAsia="Times New Roman" w:cs="Times New Roman"/>
                <w:bCs/>
                <w:i/>
                <w:sz w:val="24"/>
                <w:szCs w:val="24"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uk-UA" w:eastAsia="ar-SA"/>
        </w:rPr>
        <w:t xml:space="preserve">(у </w:t>
      </w:r>
      <w:r>
        <w:rPr>
          <w:rFonts w:ascii="Cambria" w:hAnsi="Cambria" w:eastAsia="Times New Roman" w:cs="Times New Roman"/>
          <w:i/>
          <w:iCs/>
          <w:lang w:val="uk-UA" w:eastAsia="ar-SA"/>
        </w:rPr>
        <w:t>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33953A0"/>
    <w:rsid w:val="112E5F5B"/>
    <w:rsid w:val="269F50D9"/>
    <w:rsid w:val="28B26FD4"/>
    <w:rsid w:val="37266532"/>
    <w:rsid w:val="3C5D3128"/>
    <w:rsid w:val="529F1D55"/>
    <w:rsid w:val="5A915AB2"/>
    <w:rsid w:val="5F020F09"/>
    <w:rsid w:val="5F24169B"/>
    <w:rsid w:val="68193EA8"/>
    <w:rsid w:val="682420B7"/>
    <w:rsid w:val="6EBD66B0"/>
    <w:rsid w:val="71304A9E"/>
    <w:rsid w:val="78234030"/>
    <w:rsid w:val="7CA047F8"/>
    <w:rsid w:val="7D3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6</TotalTime>
  <ScaleCrop>false</ScaleCrop>
  <LinksUpToDate>false</LinksUpToDate>
  <CharactersWithSpaces>2649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2023-12-22T13:09:03Z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01D3B23C040B4CEFB264443FC0A2B3D7_13</vt:lpwstr>
  </property>
</Properties>
</file>